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8.0 -->
  <w:body>
    <w:p w:rsidR="009866BB">
      <w:pPr>
        <w:rPr>
          <w:rFonts w:eastAsia="黑体" w:cs="Times New Roman" w:hint="eastAsia"/>
        </w:rPr>
      </w:pPr>
      <w:bookmarkStart w:id="0" w:name="_GoBack"/>
      <w:bookmarkEnd w:id="0"/>
    </w:p>
    <w:p w:rsidR="009866BB">
      <w:pPr>
        <w:rPr>
          <w:rFonts w:eastAsia="黑体" w:cs="Times New Roman"/>
        </w:rPr>
      </w:pPr>
    </w:p>
    <w:p w:rsidR="009866BB">
      <w:pPr>
        <w:rPr>
          <w:rFonts w:eastAsia="黑体" w:cs="Times New Roman"/>
        </w:rPr>
      </w:pPr>
    </w:p>
    <w:p w:rsidR="009866BB">
      <w:pPr>
        <w:rPr>
          <w:rFonts w:eastAsia="黑体" w:cs="Times New Roman"/>
        </w:rPr>
      </w:pPr>
    </w:p>
    <w:p w:rsidR="009866BB">
      <w:pPr>
        <w:rPr>
          <w:rFonts w:eastAsia="黑体" w:cs="Times New Roman"/>
        </w:rPr>
      </w:pPr>
    </w:p>
    <w:p w:rsidR="009866BB">
      <w:pPr>
        <w:rPr>
          <w:rFonts w:eastAsia="黑体" w:cs="Times New Roman"/>
        </w:rPr>
      </w:pPr>
    </w:p>
    <w:p w:rsidR="009866BB">
      <w:pPr>
        <w:rPr>
          <w:rFonts w:eastAsia="黑体" w:cs="Times New Roman"/>
        </w:rPr>
      </w:pPr>
    </w:p>
    <w:p w:rsidR="009866BB">
      <w:pPr>
        <w:rPr>
          <w:rFonts w:eastAsia="黑体" w:cs="Times New Roman"/>
        </w:rPr>
      </w:pPr>
    </w:p>
    <w:p w:rsidR="009866BB">
      <w:pPr>
        <w:jc w:val="center"/>
        <w:rPr>
          <w:rFonts w:cs="Times New Roman"/>
        </w:rPr>
      </w:pPr>
      <w:r>
        <w:rPr>
          <w:rFonts w:cs="Times New Roman"/>
        </w:rPr>
        <w:t>中大研院〔</w:t>
      </w:r>
      <w:r>
        <w:rPr>
          <w:rFonts w:cs="Times New Roman"/>
        </w:rPr>
        <w:t>2019</w:t>
      </w:r>
      <w:r>
        <w:rPr>
          <w:rFonts w:cs="Times New Roman"/>
        </w:rPr>
        <w:t>〕</w:t>
      </w:r>
      <w:r>
        <w:rPr>
          <w:rFonts w:cs="Times New Roman"/>
        </w:rPr>
        <w:t>93</w:t>
      </w:r>
      <w:r>
        <w:rPr>
          <w:rFonts w:cs="Times New Roman"/>
        </w:rPr>
        <w:t>号</w:t>
      </w:r>
    </w:p>
    <w:p w:rsidR="009866BB">
      <w:pPr>
        <w:rPr>
          <w:rFonts w:eastAsia="黑体" w:cs="Times New Roman"/>
        </w:rPr>
      </w:pPr>
    </w:p>
    <w:p w:rsidR="009866BB">
      <w:pPr>
        <w:rPr>
          <w:rFonts w:eastAsia="黑体" w:cs="Times New Roman"/>
        </w:rPr>
      </w:pPr>
      <w:r>
        <w:rPr>
          <w:rFonts w:eastAsia="黑体" w:cs="Times New Roman"/>
          <w:noProof/>
        </w:rPr>
        <mc:AlternateContent>
          <mc:Choice Requires="wps">
            <w:drawing>
              <wp:anchor distT="0" distB="0" distL="114300" distR="114300" simplePos="0" relativeHeight="251658240" behindDoc="0" locked="0" layoutInCell="1" allowOverlap="1">
                <wp:simplePos x="0" y="0"/>
                <wp:positionH relativeFrom="page">
                  <wp:posOffset>1008380</wp:posOffset>
                </wp:positionH>
                <wp:positionV relativeFrom="page">
                  <wp:posOffset>2520315</wp:posOffset>
                </wp:positionV>
                <wp:extent cx="5544185" cy="864235"/>
                <wp:effectExtent l="0" t="0" r="0" b="0"/>
                <wp:wrapNone/>
                <wp:docPr id="307" name="文本框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544185" cy="864235"/>
                        </a:xfrm>
                        <a:prstGeom prst="rect">
                          <a:avLst/>
                        </a:prstGeom>
                        <a:noFill/>
                        <a:ln w="9525">
                          <a:noFill/>
                          <a:miter lim="800000"/>
                        </a:ln>
                        <a:effectLst/>
                      </wps:spPr>
                      <wps:txbx>
                        <w:txbxContent>
                          <w:p w:rsidR="009866BB">
                            <w:pPr>
                              <w:jc w:val="center"/>
                              <w:rPr>
                                <w:rFonts w:eastAsia="方正小标宋简体"/>
                                <w:bCs/>
                                <w:color w:val="FF0000"/>
                                <w:w w:val="80"/>
                                <w:sz w:val="110"/>
                              </w:rPr>
                            </w:pPr>
                            <w:r>
                              <w:rPr>
                                <w:rFonts w:eastAsia="方正小标宋简体"/>
                                <w:bCs/>
                                <w:color w:val="FF0000"/>
                                <w:w w:val="80"/>
                                <w:sz w:val="110"/>
                              </w:rPr>
                              <w:t>中</w:t>
                            </w:r>
                            <w:r>
                              <w:rPr>
                                <w:rFonts w:eastAsia="方正小标宋简体" w:hint="eastAsia"/>
                                <w:bCs/>
                                <w:color w:val="FF0000"/>
                                <w:w w:val="80"/>
                                <w:sz w:val="110"/>
                              </w:rPr>
                              <w:t xml:space="preserve"> </w:t>
                            </w:r>
                            <w:r>
                              <w:rPr>
                                <w:rFonts w:eastAsia="方正小标宋简体"/>
                                <w:bCs/>
                                <w:color w:val="FF0000"/>
                                <w:w w:val="80"/>
                                <w:sz w:val="110"/>
                              </w:rPr>
                              <w:t>山</w:t>
                            </w:r>
                            <w:r>
                              <w:rPr>
                                <w:rFonts w:eastAsia="方正小标宋简体"/>
                                <w:bCs/>
                                <w:color w:val="FF0000"/>
                                <w:w w:val="80"/>
                                <w:sz w:val="110"/>
                              </w:rPr>
                              <w:t xml:space="preserve"> </w:t>
                            </w:r>
                            <w:r>
                              <w:rPr>
                                <w:rFonts w:eastAsia="方正小标宋简体"/>
                                <w:bCs/>
                                <w:color w:val="FF0000"/>
                                <w:w w:val="80"/>
                                <w:sz w:val="110"/>
                              </w:rPr>
                              <w:t>大</w:t>
                            </w:r>
                            <w:r>
                              <w:rPr>
                                <w:rFonts w:eastAsia="方正小标宋简体"/>
                                <w:bCs/>
                                <w:color w:val="FF0000"/>
                                <w:w w:val="80"/>
                                <w:sz w:val="110"/>
                              </w:rPr>
                              <w:t xml:space="preserve"> </w:t>
                            </w:r>
                            <w:r>
                              <w:rPr>
                                <w:rFonts w:eastAsia="方正小标宋简体"/>
                                <w:bCs/>
                                <w:color w:val="FF0000"/>
                                <w:w w:val="80"/>
                                <w:sz w:val="110"/>
                              </w:rPr>
                              <w:t>学</w:t>
                            </w:r>
                            <w:r>
                              <w:rPr>
                                <w:rFonts w:eastAsia="方正小标宋简体"/>
                                <w:bCs/>
                                <w:color w:val="FF0000"/>
                                <w:w w:val="80"/>
                                <w:sz w:val="110"/>
                              </w:rPr>
                              <w:t xml:space="preserve"> </w:t>
                            </w:r>
                            <w:r>
                              <w:rPr>
                                <w:rFonts w:eastAsia="方正小标宋简体"/>
                                <w:bCs/>
                                <w:color w:val="FF0000"/>
                                <w:w w:val="80"/>
                                <w:sz w:val="110"/>
                              </w:rPr>
                              <w:t>文</w:t>
                            </w:r>
                            <w:r>
                              <w:rPr>
                                <w:rFonts w:eastAsia="方正小标宋简体"/>
                                <w:bCs/>
                                <w:color w:val="FF0000"/>
                                <w:w w:val="80"/>
                                <w:sz w:val="110"/>
                              </w:rPr>
                              <w:t xml:space="preserve"> </w:t>
                            </w:r>
                            <w:r>
                              <w:rPr>
                                <w:rFonts w:eastAsia="方正小标宋简体"/>
                                <w:bCs/>
                                <w:color w:val="FF0000"/>
                                <w:w w:val="80"/>
                                <w:sz w:val="110"/>
                              </w:rPr>
                              <w:t>件</w:t>
                            </w:r>
                          </w:p>
                          <w:p w:rsidR="009866BB"/>
                        </w:txbxContent>
                      </wps:txbx>
                      <wps:bodyPr rot="0" vert="horz" wrap="square" lIns="0" tIns="0" rIns="0" bIns="0" anchor="ctr" anchorCtr="0"/>
                    </wps:wsp>
                  </a:graphicData>
                </a:graphic>
              </wp:anchor>
            </w:drawing>
          </mc:Choice>
          <mc:Fallback>
            <w:pict>
              <v:shapetype id="_x0000_t202" coordsize="21600,21600" o:spt="202" path="m,l,21600r21600,l21600,xe">
                <v:stroke joinstyle="miter"/>
                <v:path gradientshapeok="t" o:connecttype="rect"/>
              </v:shapetype>
              <v:shape id="文本框 2" o:spid="_x0000_s1025" type="#_x0000_t202" style="width:436.55pt;height:68.05pt;margin-top:198.45pt;margin-left:79.4pt;mso-position-horizontal-relative:page;mso-position-vertical-relative:page;mso-wrap-distance-bottom:0;mso-wrap-distance-left:9pt;mso-wrap-distance-right:9pt;mso-wrap-distance-top:0;mso-wrap-style:square;position:absolute;visibility:visible;v-text-anchor:middle;z-index:251659264" filled="f" stroked="f">
                <v:textbox inset="0,0,0,0">
                  <w:txbxContent>
                    <w:p w:rsidR="009866BB">
                      <w:pPr>
                        <w:jc w:val="center"/>
                        <w:rPr>
                          <w:rFonts w:eastAsia="方正小标宋简体"/>
                          <w:bCs/>
                          <w:color w:val="FF0000"/>
                          <w:w w:val="80"/>
                          <w:sz w:val="110"/>
                        </w:rPr>
                      </w:pPr>
                      <w:r>
                        <w:rPr>
                          <w:rFonts w:eastAsia="方正小标宋简体"/>
                          <w:bCs/>
                          <w:color w:val="FF0000"/>
                          <w:w w:val="80"/>
                          <w:sz w:val="110"/>
                        </w:rPr>
                        <w:t>中</w:t>
                      </w:r>
                      <w:r>
                        <w:rPr>
                          <w:rFonts w:eastAsia="方正小标宋简体" w:hint="eastAsia"/>
                          <w:bCs/>
                          <w:color w:val="FF0000"/>
                          <w:w w:val="80"/>
                          <w:sz w:val="110"/>
                        </w:rPr>
                        <w:t xml:space="preserve"> </w:t>
                      </w:r>
                      <w:r>
                        <w:rPr>
                          <w:rFonts w:eastAsia="方正小标宋简体"/>
                          <w:bCs/>
                          <w:color w:val="FF0000"/>
                          <w:w w:val="80"/>
                          <w:sz w:val="110"/>
                        </w:rPr>
                        <w:t>山</w:t>
                      </w:r>
                      <w:r>
                        <w:rPr>
                          <w:rFonts w:eastAsia="方正小标宋简体"/>
                          <w:bCs/>
                          <w:color w:val="FF0000"/>
                          <w:w w:val="80"/>
                          <w:sz w:val="110"/>
                        </w:rPr>
                        <w:t xml:space="preserve"> </w:t>
                      </w:r>
                      <w:r>
                        <w:rPr>
                          <w:rFonts w:eastAsia="方正小标宋简体"/>
                          <w:bCs/>
                          <w:color w:val="FF0000"/>
                          <w:w w:val="80"/>
                          <w:sz w:val="110"/>
                        </w:rPr>
                        <w:t>大</w:t>
                      </w:r>
                      <w:r>
                        <w:rPr>
                          <w:rFonts w:eastAsia="方正小标宋简体"/>
                          <w:bCs/>
                          <w:color w:val="FF0000"/>
                          <w:w w:val="80"/>
                          <w:sz w:val="110"/>
                        </w:rPr>
                        <w:t xml:space="preserve"> </w:t>
                      </w:r>
                      <w:r>
                        <w:rPr>
                          <w:rFonts w:eastAsia="方正小标宋简体"/>
                          <w:bCs/>
                          <w:color w:val="FF0000"/>
                          <w:w w:val="80"/>
                          <w:sz w:val="110"/>
                        </w:rPr>
                        <w:t>学</w:t>
                      </w:r>
                      <w:r>
                        <w:rPr>
                          <w:rFonts w:eastAsia="方正小标宋简体"/>
                          <w:bCs/>
                          <w:color w:val="FF0000"/>
                          <w:w w:val="80"/>
                          <w:sz w:val="110"/>
                        </w:rPr>
                        <w:t xml:space="preserve"> </w:t>
                      </w:r>
                      <w:r>
                        <w:rPr>
                          <w:rFonts w:eastAsia="方正小标宋简体"/>
                          <w:bCs/>
                          <w:color w:val="FF0000"/>
                          <w:w w:val="80"/>
                          <w:sz w:val="110"/>
                        </w:rPr>
                        <w:t>文</w:t>
                      </w:r>
                      <w:r>
                        <w:rPr>
                          <w:rFonts w:eastAsia="方正小标宋简体"/>
                          <w:bCs/>
                          <w:color w:val="FF0000"/>
                          <w:w w:val="80"/>
                          <w:sz w:val="110"/>
                        </w:rPr>
                        <w:t xml:space="preserve"> </w:t>
                      </w:r>
                      <w:r>
                        <w:rPr>
                          <w:rFonts w:eastAsia="方正小标宋简体"/>
                          <w:bCs/>
                          <w:color w:val="FF0000"/>
                          <w:w w:val="80"/>
                          <w:sz w:val="110"/>
                        </w:rPr>
                        <w:t>件</w:t>
                      </w:r>
                    </w:p>
                    <w:p w:rsidR="009866BB"/>
                  </w:txbxContent>
                </v:textbox>
              </v:shape>
            </w:pict>
          </mc:Fallback>
        </mc:AlternateContent>
      </w:r>
      <w:r>
        <w:rPr>
          <w:rFonts w:eastAsia="黑体" w:cs="Times New Roman"/>
          <w:noProof/>
        </w:rPr>
        <mc:AlternateContent>
          <mc:Choice Requires="wps">
            <w:drawing>
              <wp:anchor distT="0" distB="0" distL="114300" distR="114300" simplePos="0" relativeHeight="251660288" behindDoc="0" locked="0" layoutInCell="1" allowOverlap="1">
                <wp:simplePos x="0" y="0"/>
                <wp:positionH relativeFrom="page">
                  <wp:posOffset>1008380</wp:posOffset>
                </wp:positionH>
                <wp:positionV relativeFrom="page">
                  <wp:posOffset>4536440</wp:posOffset>
                </wp:positionV>
                <wp:extent cx="5544185" cy="0"/>
                <wp:effectExtent l="0" t="0" r="0" b="0"/>
                <wp:wrapNone/>
                <wp:docPr id="1" name="直接连接符 1"/>
                <wp:cNvGraphicFramePr/>
                <a:graphic xmlns:a="http://schemas.openxmlformats.org/drawingml/2006/main">
                  <a:graphicData uri="http://schemas.microsoft.com/office/word/2010/wordprocessingShape">
                    <wps:wsp xmlns:wps="http://schemas.microsoft.com/office/word/2010/wordprocessingShape">
                      <wps:cNvCnPr/>
                      <wps:spPr>
                        <a:xfrm>
                          <a:off x="0" y="0"/>
                          <a:ext cx="5544185" cy="0"/>
                        </a:xfrm>
                        <a:prstGeom prst="line">
                          <a:avLst/>
                        </a:prstGeom>
                        <a:ln w="19050">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1" o:spid="_x0000_s1026" style="mso-position-horizontal-relative:page;mso-position-vertical-relative:page;mso-wrap-distance-bottom:0;mso-wrap-distance-left:9pt;mso-wrap-distance-right:9pt;mso-wrap-distance-top:0;mso-wrap-style:square;position:absolute;visibility:visible;z-index:251661312" from="79.4pt,357.2pt" to="515.95pt,357.2pt" strokecolor="red" strokeweight="1.5pt"/>
            </w:pict>
          </mc:Fallback>
        </mc:AlternateContent>
      </w:r>
    </w:p>
    <w:p w:rsidR="009866BB">
      <w:pPr>
        <w:jc w:val="center"/>
        <w:rPr>
          <w:rFonts w:eastAsia="方正小标宋简体" w:cs="Times New Roman"/>
          <w:color w:val="000000"/>
          <w:sz w:val="44"/>
        </w:rPr>
      </w:pPr>
      <w:r>
        <w:rPr>
          <w:rFonts w:eastAsia="方正小标宋简体" w:cs="Times New Roman"/>
          <w:color w:val="000000"/>
          <w:sz w:val="44"/>
        </w:rPr>
        <w:t>中山大学关于</w:t>
      </w:r>
      <w:r>
        <w:rPr>
          <w:rFonts w:eastAsia="方正小标宋简体" w:cs="Times New Roman"/>
          <w:color w:val="000000"/>
          <w:sz w:val="44"/>
          <w:szCs w:val="44"/>
        </w:rPr>
        <w:t>印发《中山大学博士研究生</w:t>
      </w:r>
      <w:r>
        <w:rPr>
          <w:rFonts w:eastAsia="方正小标宋简体" w:cs="Times New Roman"/>
          <w:color w:val="000000"/>
          <w:sz w:val="44"/>
          <w:szCs w:val="44"/>
        </w:rPr>
        <w:br/>
      </w:r>
      <w:r>
        <w:rPr>
          <w:rFonts w:eastAsia="方正小标宋简体" w:cs="Times New Roman" w:hint="eastAsia"/>
          <w:color w:val="000000"/>
          <w:sz w:val="44"/>
          <w:szCs w:val="44"/>
        </w:rPr>
        <w:t>“</w:t>
      </w:r>
      <w:r>
        <w:rPr>
          <w:rFonts w:eastAsia="方正小标宋简体" w:cs="Times New Roman"/>
          <w:color w:val="000000"/>
          <w:sz w:val="44"/>
          <w:szCs w:val="44"/>
        </w:rPr>
        <w:t>优生优培</w:t>
      </w:r>
      <w:r>
        <w:rPr>
          <w:rFonts w:eastAsia="方正小标宋简体" w:cs="Times New Roman" w:hint="eastAsia"/>
          <w:color w:val="000000"/>
          <w:sz w:val="44"/>
          <w:szCs w:val="44"/>
        </w:rPr>
        <w:t>”</w:t>
      </w:r>
      <w:r>
        <w:rPr>
          <w:rFonts w:eastAsia="方正小标宋简体" w:cs="Times New Roman"/>
          <w:color w:val="000000"/>
          <w:sz w:val="44"/>
          <w:szCs w:val="44"/>
        </w:rPr>
        <w:t>资助计划实施办法》的</w:t>
      </w:r>
      <w:r>
        <w:rPr>
          <w:rFonts w:eastAsia="方正小标宋简体" w:cs="Times New Roman"/>
          <w:color w:val="000000"/>
          <w:sz w:val="44"/>
        </w:rPr>
        <w:t>通知</w:t>
      </w:r>
    </w:p>
    <w:p w:rsidR="009866BB">
      <w:pPr>
        <w:rPr>
          <w:rFonts w:cs="Times New Roman"/>
          <w:color w:val="000000"/>
        </w:rPr>
      </w:pPr>
    </w:p>
    <w:p w:rsidR="009866BB">
      <w:pPr>
        <w:jc w:val="both"/>
        <w:rPr>
          <w:rFonts w:cs="Times New Roman"/>
          <w:color w:val="000000"/>
        </w:rPr>
      </w:pPr>
      <w:r>
        <w:rPr>
          <w:rFonts w:cs="Times New Roman"/>
          <w:color w:val="000000"/>
        </w:rPr>
        <w:t>校机关各部、处、室，各学院、直属系，各直属单位，各附属医院（单位），产业集团，各有关科研机构：</w:t>
      </w:r>
    </w:p>
    <w:p w:rsidR="009866BB">
      <w:pPr>
        <w:ind w:firstLine="640" w:firstLineChars="200"/>
        <w:jc w:val="both"/>
        <w:rPr>
          <w:rFonts w:cs="Times New Roman"/>
          <w:color w:val="000000"/>
        </w:rPr>
      </w:pPr>
      <w:r>
        <w:rPr>
          <w:rFonts w:cs="Times New Roman"/>
          <w:color w:val="000000"/>
          <w:szCs w:val="32"/>
        </w:rPr>
        <w:t>《</w:t>
      </w:r>
      <w:r>
        <w:rPr>
          <w:rFonts w:cs="Times New Roman"/>
          <w:color w:val="000000"/>
        </w:rPr>
        <w:t>中山大学博士研究生</w:t>
      </w:r>
      <w:r>
        <w:rPr>
          <w:rFonts w:cs="Times New Roman" w:hint="eastAsia"/>
          <w:color w:val="000000"/>
        </w:rPr>
        <w:t>“</w:t>
      </w:r>
      <w:r>
        <w:rPr>
          <w:rFonts w:cs="Times New Roman"/>
          <w:color w:val="000000"/>
        </w:rPr>
        <w:t>优生优培</w:t>
      </w:r>
      <w:r>
        <w:rPr>
          <w:rFonts w:cs="Times New Roman" w:hint="eastAsia"/>
          <w:color w:val="000000"/>
        </w:rPr>
        <w:t>”</w:t>
      </w:r>
      <w:r>
        <w:rPr>
          <w:rFonts w:cs="Times New Roman"/>
          <w:color w:val="000000"/>
        </w:rPr>
        <w:t>资助计划实施办法》</w:t>
      </w:r>
      <w:r>
        <w:rPr>
          <w:rFonts w:cs="Times New Roman"/>
          <w:color w:val="000000"/>
          <w:szCs w:val="32"/>
        </w:rPr>
        <w:t>已经</w:t>
      </w:r>
      <w:r>
        <w:rPr>
          <w:rFonts w:cs="Times New Roman"/>
          <w:color w:val="000000"/>
          <w:szCs w:val="32"/>
        </w:rPr>
        <w:t>2019</w:t>
      </w:r>
      <w:r>
        <w:rPr>
          <w:rFonts w:cs="Times New Roman"/>
          <w:color w:val="000000"/>
          <w:szCs w:val="32"/>
        </w:rPr>
        <w:t>年第</w:t>
      </w:r>
      <w:r>
        <w:rPr>
          <w:rFonts w:cs="Times New Roman"/>
          <w:color w:val="000000"/>
          <w:szCs w:val="32"/>
        </w:rPr>
        <w:t>3</w:t>
      </w:r>
      <w:r>
        <w:rPr>
          <w:rFonts w:cs="Times New Roman"/>
          <w:color w:val="000000"/>
          <w:szCs w:val="32"/>
        </w:rPr>
        <w:t>次校党委常委（扩大）会议审议通过，现予以印发，请遵照执行。</w:t>
      </w:r>
    </w:p>
    <w:p w:rsidR="009866BB">
      <w:pPr>
        <w:rPr>
          <w:rFonts w:cs="Times New Roman"/>
          <w:color w:val="000000"/>
        </w:rPr>
      </w:pPr>
    </w:p>
    <w:p w:rsidR="009866BB" w:rsidP="00CC39A1">
      <w:pPr>
        <w:ind w:right="1827" w:rightChars="571"/>
        <w:jc w:val="right"/>
        <w:rPr>
          <w:rFonts w:cs="Times New Roman"/>
          <w:color w:val="000000"/>
        </w:rPr>
      </w:pPr>
      <w:r>
        <w:rPr>
          <w:rFonts w:cs="Times New Roman"/>
          <w:color w:val="000000"/>
        </w:rPr>
        <w:t>中山大学</w:t>
      </w:r>
    </w:p>
    <w:p w:rsidR="009866BB">
      <w:pPr>
        <w:ind w:right="1248" w:rightChars="390"/>
        <w:jc w:val="right"/>
        <w:rPr>
          <w:rFonts w:cs="Times New Roman"/>
          <w:color w:val="000000"/>
        </w:rPr>
      </w:pPr>
      <w:r>
        <w:rPr>
          <w:rFonts w:cs="Times New Roman"/>
          <w:color w:val="000000"/>
        </w:rPr>
        <w:t>2019</w:t>
      </w:r>
      <w:r>
        <w:rPr>
          <w:rFonts w:cs="Times New Roman"/>
          <w:color w:val="000000"/>
        </w:rPr>
        <w:t>年</w:t>
      </w:r>
      <w:r w:rsidR="00CC39A1">
        <w:rPr>
          <w:rFonts w:cs="Times New Roman" w:hint="eastAsia"/>
          <w:color w:val="000000"/>
        </w:rPr>
        <w:t>4</w:t>
      </w:r>
      <w:r>
        <w:rPr>
          <w:rFonts w:cs="Times New Roman"/>
          <w:color w:val="000000"/>
        </w:rPr>
        <w:t>月</w:t>
      </w:r>
      <w:r w:rsidR="00CC39A1">
        <w:rPr>
          <w:rFonts w:cs="Times New Roman" w:hint="eastAsia"/>
          <w:color w:val="000000"/>
        </w:rPr>
        <w:t>4</w:t>
      </w:r>
      <w:r>
        <w:rPr>
          <w:rFonts w:cs="Times New Roman"/>
          <w:color w:val="000000"/>
        </w:rPr>
        <w:t>日</w:t>
      </w:r>
    </w:p>
    <w:p w:rsidR="009866BB">
      <w:pPr>
        <w:jc w:val="center"/>
        <w:rPr>
          <w:rFonts w:eastAsia="方正小标宋简体" w:cs="Times New Roman"/>
          <w:color w:val="000000"/>
          <w:sz w:val="44"/>
        </w:rPr>
      </w:pPr>
      <w:bookmarkStart w:id="1" w:name="_Toc364261269"/>
      <w:bookmarkStart w:id="2" w:name="_Toc458002147"/>
      <w:r>
        <w:rPr>
          <w:rFonts w:eastAsia="方正小标宋简体" w:cs="Times New Roman"/>
          <w:color w:val="000000"/>
          <w:sz w:val="44"/>
        </w:rPr>
        <w:t>中山大学博士研究生</w:t>
      </w:r>
      <w:r>
        <w:rPr>
          <w:rFonts w:eastAsia="方正小标宋简体" w:cs="Times New Roman" w:hint="eastAsia"/>
          <w:color w:val="000000"/>
          <w:sz w:val="44"/>
        </w:rPr>
        <w:t>“</w:t>
      </w:r>
      <w:r>
        <w:rPr>
          <w:rFonts w:eastAsia="方正小标宋简体" w:cs="Times New Roman"/>
          <w:color w:val="000000"/>
          <w:sz w:val="44"/>
        </w:rPr>
        <w:t>优生优培</w:t>
      </w:r>
      <w:r>
        <w:rPr>
          <w:rFonts w:eastAsia="方正小标宋简体" w:cs="Times New Roman" w:hint="eastAsia"/>
          <w:color w:val="000000"/>
          <w:sz w:val="44"/>
        </w:rPr>
        <w:t>”</w:t>
      </w:r>
      <w:r>
        <w:rPr>
          <w:rFonts w:eastAsia="方正小标宋简体" w:cs="Times New Roman"/>
          <w:color w:val="000000"/>
          <w:sz w:val="44"/>
        </w:rPr>
        <w:t>资助计划</w:t>
      </w:r>
      <w:r>
        <w:rPr>
          <w:rFonts w:eastAsia="方正小标宋简体" w:cs="Times New Roman"/>
          <w:color w:val="000000"/>
          <w:sz w:val="44"/>
        </w:rPr>
        <w:br/>
      </w:r>
      <w:r>
        <w:rPr>
          <w:rFonts w:eastAsia="方正小标宋简体" w:cs="Times New Roman"/>
          <w:color w:val="000000"/>
          <w:sz w:val="44"/>
        </w:rPr>
        <w:t>实施</w:t>
      </w:r>
      <w:bookmarkEnd w:id="1"/>
      <w:r>
        <w:rPr>
          <w:rFonts w:eastAsia="方正小标宋简体" w:cs="Times New Roman"/>
          <w:color w:val="000000"/>
          <w:sz w:val="44"/>
        </w:rPr>
        <w:t>办法</w:t>
      </w:r>
      <w:bookmarkEnd w:id="2"/>
    </w:p>
    <w:p w:rsidR="009866BB">
      <w:pPr>
        <w:rPr>
          <w:rFonts w:cs="Times New Roman"/>
        </w:rPr>
      </w:pPr>
    </w:p>
    <w:p w:rsidR="009866BB">
      <w:pPr>
        <w:jc w:val="center"/>
        <w:rPr>
          <w:rFonts w:eastAsia="黑体" w:cs="Times New Roman"/>
          <w:color w:val="000000"/>
          <w:szCs w:val="32"/>
        </w:rPr>
      </w:pPr>
      <w:r>
        <w:rPr>
          <w:rFonts w:eastAsia="黑体" w:cs="Times New Roman"/>
          <w:color w:val="000000"/>
          <w:szCs w:val="32"/>
        </w:rPr>
        <w:t>第一章</w:t>
      </w:r>
      <w:r>
        <w:rPr>
          <w:rFonts w:eastAsia="黑体" w:cs="Times New Roman"/>
          <w:color w:val="000000"/>
          <w:szCs w:val="32"/>
        </w:rPr>
        <w:t xml:space="preserve">  </w:t>
      </w:r>
      <w:r>
        <w:rPr>
          <w:rFonts w:eastAsia="黑体" w:cs="Times New Roman"/>
          <w:color w:val="000000"/>
          <w:szCs w:val="32"/>
        </w:rPr>
        <w:t>总则</w:t>
      </w:r>
    </w:p>
    <w:p w:rsidR="009866BB" w:rsidP="00CC39A1">
      <w:pPr>
        <w:ind w:firstLine="640" w:firstLineChars="200"/>
        <w:jc w:val="both"/>
        <w:rPr>
          <w:rFonts w:cs="Times New Roman"/>
          <w:szCs w:val="32"/>
        </w:rPr>
      </w:pPr>
      <w:r>
        <w:rPr>
          <w:rFonts w:cs="Times New Roman"/>
          <w:b/>
          <w:szCs w:val="32"/>
        </w:rPr>
        <w:t>第一条</w:t>
      </w:r>
      <w:r>
        <w:rPr>
          <w:rFonts w:cs="Times New Roman"/>
          <w:b/>
          <w:szCs w:val="32"/>
        </w:rPr>
        <w:t xml:space="preserve">  </w:t>
      </w:r>
      <w:r>
        <w:rPr>
          <w:rFonts w:cs="Times New Roman"/>
          <w:szCs w:val="32"/>
        </w:rPr>
        <w:t>为进一步完善我校研究生奖助体系</w:t>
      </w:r>
      <w:r>
        <w:rPr>
          <w:rFonts w:cs="Times New Roman" w:hint="eastAsia"/>
          <w:szCs w:val="32"/>
        </w:rPr>
        <w:t>，</w:t>
      </w:r>
      <w:r>
        <w:rPr>
          <w:rFonts w:cs="Times New Roman"/>
          <w:szCs w:val="32"/>
        </w:rPr>
        <w:t>深化博士研究生培养模式改革，保障博士研究生</w:t>
      </w:r>
      <w:r>
        <w:rPr>
          <w:rFonts w:cs="Times New Roman" w:hint="eastAsia"/>
          <w:color w:val="000000"/>
        </w:rPr>
        <w:t>“</w:t>
      </w:r>
      <w:r>
        <w:rPr>
          <w:rFonts w:cs="Times New Roman"/>
          <w:color w:val="000000"/>
        </w:rPr>
        <w:t>优生优培</w:t>
      </w:r>
      <w:r>
        <w:rPr>
          <w:rFonts w:cs="Times New Roman" w:hint="eastAsia"/>
          <w:color w:val="000000"/>
        </w:rPr>
        <w:t>”</w:t>
      </w:r>
      <w:r>
        <w:rPr>
          <w:rFonts w:cs="Times New Roman"/>
          <w:szCs w:val="32"/>
        </w:rPr>
        <w:t>资助计划的顺利实施，全面实现</w:t>
      </w:r>
      <w:r>
        <w:rPr>
          <w:rFonts w:cs="Times New Roman" w:hint="eastAsia"/>
          <w:color w:val="000000"/>
        </w:rPr>
        <w:t>“</w:t>
      </w:r>
      <w:r>
        <w:rPr>
          <w:rFonts w:cs="Times New Roman"/>
          <w:color w:val="000000"/>
        </w:rPr>
        <w:t>优生优培</w:t>
      </w:r>
      <w:r>
        <w:rPr>
          <w:rFonts w:cs="Times New Roman" w:hint="eastAsia"/>
          <w:color w:val="000000"/>
        </w:rPr>
        <w:t>”</w:t>
      </w:r>
      <w:r>
        <w:rPr>
          <w:rFonts w:cs="Times New Roman"/>
          <w:szCs w:val="32"/>
        </w:rPr>
        <w:t>资助计划博士研究生的培养目标，根据《教育部</w:t>
      </w:r>
      <w:r>
        <w:rPr>
          <w:rFonts w:cs="Times New Roman"/>
          <w:szCs w:val="32"/>
        </w:rPr>
        <w:t xml:space="preserve"> </w:t>
      </w:r>
      <w:r>
        <w:rPr>
          <w:rFonts w:cs="Times New Roman"/>
          <w:szCs w:val="32"/>
        </w:rPr>
        <w:t>国家发展改革委</w:t>
      </w:r>
      <w:r>
        <w:rPr>
          <w:rFonts w:cs="Times New Roman"/>
          <w:szCs w:val="32"/>
        </w:rPr>
        <w:t xml:space="preserve"> </w:t>
      </w:r>
      <w:r>
        <w:rPr>
          <w:rFonts w:cs="Times New Roman"/>
          <w:szCs w:val="32"/>
        </w:rPr>
        <w:t>财政部关于深化研究生教育改革的意见》（教研</w:t>
      </w:r>
      <w:r>
        <w:rPr>
          <w:rFonts w:eastAsia="宋体" w:cs="Times New Roman"/>
          <w:szCs w:val="32"/>
        </w:rPr>
        <w:t>﹝</w:t>
      </w:r>
      <w:r>
        <w:rPr>
          <w:rFonts w:cs="Times New Roman"/>
          <w:szCs w:val="32"/>
        </w:rPr>
        <w:t>2013</w:t>
      </w:r>
      <w:r>
        <w:rPr>
          <w:rFonts w:eastAsia="宋体" w:cs="Times New Roman"/>
          <w:szCs w:val="32"/>
        </w:rPr>
        <w:t>﹞</w:t>
      </w:r>
      <w:r>
        <w:rPr>
          <w:rFonts w:cs="Times New Roman"/>
          <w:szCs w:val="32"/>
        </w:rPr>
        <w:t>1</w:t>
      </w:r>
      <w:r>
        <w:rPr>
          <w:rFonts w:cs="Times New Roman"/>
          <w:szCs w:val="32"/>
        </w:rPr>
        <w:t>号）、《财政部</w:t>
      </w:r>
      <w:r>
        <w:rPr>
          <w:rFonts w:cs="Times New Roman"/>
          <w:szCs w:val="32"/>
        </w:rPr>
        <w:t xml:space="preserve"> </w:t>
      </w:r>
      <w:r>
        <w:rPr>
          <w:rFonts w:cs="Times New Roman"/>
          <w:szCs w:val="32"/>
        </w:rPr>
        <w:t>国家发展改革委</w:t>
      </w:r>
      <w:r>
        <w:rPr>
          <w:rFonts w:cs="Times New Roman"/>
          <w:szCs w:val="32"/>
        </w:rPr>
        <w:t xml:space="preserve"> </w:t>
      </w:r>
      <w:r>
        <w:rPr>
          <w:rFonts w:cs="Times New Roman"/>
          <w:szCs w:val="32"/>
        </w:rPr>
        <w:t>教育部</w:t>
      </w:r>
      <w:r>
        <w:rPr>
          <w:rFonts w:cs="Times New Roman"/>
          <w:szCs w:val="32"/>
        </w:rPr>
        <w:t xml:space="preserve"> </w:t>
      </w:r>
      <w:r>
        <w:rPr>
          <w:rFonts w:cs="Times New Roman"/>
          <w:szCs w:val="32"/>
        </w:rPr>
        <w:t>关于完善研究生教育投入机制的意见》（财教〔</w:t>
      </w:r>
      <w:r>
        <w:rPr>
          <w:rFonts w:cs="Times New Roman"/>
          <w:szCs w:val="32"/>
        </w:rPr>
        <w:t>2013</w:t>
      </w:r>
      <w:r>
        <w:rPr>
          <w:rFonts w:cs="Times New Roman"/>
          <w:szCs w:val="32"/>
        </w:rPr>
        <w:t>〕</w:t>
      </w:r>
      <w:r>
        <w:rPr>
          <w:rFonts w:cs="Times New Roman"/>
          <w:szCs w:val="32"/>
        </w:rPr>
        <w:t>19</w:t>
      </w:r>
      <w:r>
        <w:rPr>
          <w:rFonts w:cs="Times New Roman"/>
          <w:szCs w:val="32"/>
        </w:rPr>
        <w:t>号）、《关于做好研究生奖助工作的通知》（财教〔</w:t>
      </w:r>
      <w:r>
        <w:rPr>
          <w:rFonts w:cs="Times New Roman"/>
          <w:szCs w:val="32"/>
        </w:rPr>
        <w:t>2013</w:t>
      </w:r>
      <w:r>
        <w:rPr>
          <w:rFonts w:cs="Times New Roman"/>
          <w:szCs w:val="32"/>
        </w:rPr>
        <w:t>〕</w:t>
      </w:r>
      <w:r>
        <w:rPr>
          <w:rFonts w:cs="Times New Roman"/>
          <w:szCs w:val="32"/>
        </w:rPr>
        <w:t>221</w:t>
      </w:r>
      <w:r>
        <w:rPr>
          <w:rFonts w:cs="Times New Roman"/>
          <w:szCs w:val="32"/>
        </w:rPr>
        <w:t>号）以及学校研究生奖助金管理有关规定，结合学校实际，特制定本办法。</w:t>
      </w:r>
    </w:p>
    <w:p w:rsidR="009866BB" w:rsidP="00CC39A1">
      <w:pPr>
        <w:ind w:firstLine="640" w:firstLineChars="200"/>
        <w:jc w:val="both"/>
        <w:rPr>
          <w:rFonts w:cs="Times New Roman"/>
          <w:szCs w:val="32"/>
        </w:rPr>
      </w:pPr>
      <w:r>
        <w:rPr>
          <w:rFonts w:cs="Times New Roman"/>
          <w:b/>
          <w:szCs w:val="32"/>
        </w:rPr>
        <w:t>第二条</w:t>
      </w:r>
      <w:r>
        <w:rPr>
          <w:rFonts w:cs="Times New Roman"/>
          <w:b/>
          <w:szCs w:val="32"/>
        </w:rPr>
        <w:t xml:space="preserve">  </w:t>
      </w:r>
      <w:r>
        <w:rPr>
          <w:rFonts w:cs="Times New Roman"/>
          <w:szCs w:val="32"/>
        </w:rPr>
        <w:t>实施博士研究生</w:t>
      </w:r>
      <w:r>
        <w:rPr>
          <w:rFonts w:cs="Times New Roman" w:hint="eastAsia"/>
          <w:color w:val="000000"/>
        </w:rPr>
        <w:t>“</w:t>
      </w:r>
      <w:r>
        <w:rPr>
          <w:rFonts w:cs="Times New Roman"/>
          <w:color w:val="000000"/>
        </w:rPr>
        <w:t>优生优培</w:t>
      </w:r>
      <w:r>
        <w:rPr>
          <w:rFonts w:cs="Times New Roman" w:hint="eastAsia"/>
          <w:color w:val="000000"/>
        </w:rPr>
        <w:t>”</w:t>
      </w:r>
      <w:r>
        <w:rPr>
          <w:rFonts w:cs="Times New Roman"/>
          <w:szCs w:val="32"/>
        </w:rPr>
        <w:t>资助计划的指导思想是遵循拔尖创新人才培养的基本规律，建立有利于培养高质量学术学位博士研究生的教育模式；选拔有志于从事学术研究的优秀博士研究生</w:t>
      </w:r>
      <w:r>
        <w:rPr>
          <w:rFonts w:cs="Times New Roman" w:hint="eastAsia"/>
          <w:szCs w:val="32"/>
        </w:rPr>
        <w:t>，</w:t>
      </w:r>
      <w:r>
        <w:rPr>
          <w:rFonts w:cs="Times New Roman"/>
          <w:szCs w:val="32"/>
        </w:rPr>
        <w:t>加强优秀博士研究生与优质博士生教育资源的对接，促进博士研究生培养质量的提升。</w:t>
      </w:r>
    </w:p>
    <w:p w:rsidR="009866BB" w:rsidP="00CC39A1">
      <w:pPr>
        <w:ind w:firstLine="640" w:firstLineChars="200"/>
        <w:jc w:val="both"/>
        <w:rPr>
          <w:rFonts w:cs="Times New Roman"/>
          <w:szCs w:val="32"/>
        </w:rPr>
      </w:pPr>
      <w:r>
        <w:rPr>
          <w:rFonts w:cs="Times New Roman"/>
          <w:b/>
          <w:szCs w:val="32"/>
        </w:rPr>
        <w:t>第三条</w:t>
      </w:r>
      <w:r>
        <w:rPr>
          <w:rFonts w:cs="Times New Roman"/>
          <w:b/>
          <w:szCs w:val="32"/>
        </w:rPr>
        <w:t xml:space="preserve">  </w:t>
      </w:r>
      <w:r>
        <w:rPr>
          <w:rFonts w:cs="Times New Roman"/>
          <w:szCs w:val="32"/>
        </w:rPr>
        <w:t>实施博士研究生</w:t>
      </w:r>
      <w:r>
        <w:rPr>
          <w:rFonts w:cs="Times New Roman" w:hint="eastAsia"/>
          <w:color w:val="000000"/>
        </w:rPr>
        <w:t>“</w:t>
      </w:r>
      <w:r>
        <w:rPr>
          <w:rFonts w:cs="Times New Roman"/>
          <w:color w:val="000000"/>
        </w:rPr>
        <w:t>优生优培</w:t>
      </w:r>
      <w:r>
        <w:rPr>
          <w:rFonts w:cs="Times New Roman" w:hint="eastAsia"/>
          <w:color w:val="000000"/>
        </w:rPr>
        <w:t>”</w:t>
      </w:r>
      <w:r>
        <w:rPr>
          <w:rFonts w:cs="Times New Roman"/>
          <w:szCs w:val="32"/>
        </w:rPr>
        <w:t>资助计划的基本原则是择优选拔，优质培养，保证质量，宁缺毋滥。</w:t>
      </w:r>
    </w:p>
    <w:p w:rsidR="009866BB" w:rsidP="00CC39A1">
      <w:pPr>
        <w:ind w:firstLine="640" w:firstLineChars="200"/>
        <w:jc w:val="both"/>
        <w:rPr>
          <w:rFonts w:cs="Times New Roman"/>
          <w:szCs w:val="32"/>
        </w:rPr>
      </w:pPr>
      <w:r>
        <w:rPr>
          <w:rFonts w:cs="Times New Roman"/>
          <w:b/>
          <w:szCs w:val="32"/>
        </w:rPr>
        <w:t>第四条</w:t>
      </w:r>
      <w:r>
        <w:rPr>
          <w:rFonts w:cs="Times New Roman"/>
          <w:b/>
          <w:szCs w:val="32"/>
        </w:rPr>
        <w:t xml:space="preserve">  </w:t>
      </w:r>
      <w:r>
        <w:rPr>
          <w:rFonts w:cs="Times New Roman"/>
          <w:szCs w:val="32"/>
        </w:rPr>
        <w:t>专业学位、定向就业以及港澳台和国际学生等类型的研究生，不纳入博士研究生</w:t>
      </w:r>
      <w:r>
        <w:rPr>
          <w:rFonts w:cs="Times New Roman" w:hint="eastAsia"/>
          <w:color w:val="000000"/>
        </w:rPr>
        <w:t>“</w:t>
      </w:r>
      <w:r>
        <w:rPr>
          <w:rFonts w:cs="Times New Roman"/>
          <w:color w:val="000000"/>
        </w:rPr>
        <w:t>优生优培</w:t>
      </w:r>
      <w:r>
        <w:rPr>
          <w:rFonts w:cs="Times New Roman" w:hint="eastAsia"/>
          <w:color w:val="000000"/>
        </w:rPr>
        <w:t>”</w:t>
      </w:r>
      <w:r>
        <w:rPr>
          <w:rFonts w:cs="Times New Roman"/>
          <w:szCs w:val="32"/>
        </w:rPr>
        <w:t>资助计划的资助范围。</w:t>
      </w:r>
    </w:p>
    <w:p w:rsidR="009866BB">
      <w:pPr>
        <w:ind w:firstLine="640" w:firstLineChars="200"/>
        <w:rPr>
          <w:rFonts w:cs="Times New Roman"/>
          <w:szCs w:val="32"/>
        </w:rPr>
      </w:pPr>
    </w:p>
    <w:p w:rsidR="009866BB">
      <w:pPr>
        <w:jc w:val="center"/>
        <w:rPr>
          <w:rFonts w:eastAsia="黑体" w:cs="Times New Roman"/>
          <w:color w:val="000000"/>
          <w:szCs w:val="32"/>
        </w:rPr>
      </w:pPr>
      <w:r>
        <w:rPr>
          <w:rFonts w:eastAsia="黑体" w:cs="Times New Roman" w:hint="eastAsia"/>
          <w:color w:val="000000"/>
          <w:szCs w:val="32"/>
        </w:rPr>
        <w:t>第二章</w:t>
      </w:r>
      <w:r>
        <w:rPr>
          <w:rFonts w:eastAsia="黑体" w:cs="Times New Roman" w:hint="eastAsia"/>
          <w:color w:val="000000"/>
          <w:szCs w:val="32"/>
        </w:rPr>
        <w:t xml:space="preserve">  </w:t>
      </w:r>
      <w:r>
        <w:rPr>
          <w:rFonts w:eastAsia="黑体" w:cs="Times New Roman"/>
          <w:color w:val="000000"/>
          <w:szCs w:val="32"/>
        </w:rPr>
        <w:t>选拔对象及选拔程序</w:t>
      </w:r>
    </w:p>
    <w:p w:rsidR="009866BB" w:rsidP="00CC39A1">
      <w:pPr>
        <w:ind w:firstLine="640" w:firstLineChars="200"/>
        <w:jc w:val="both"/>
        <w:rPr>
          <w:rFonts w:cs="Times New Roman"/>
          <w:szCs w:val="32"/>
        </w:rPr>
      </w:pPr>
      <w:r>
        <w:rPr>
          <w:rFonts w:cs="Times New Roman"/>
          <w:b/>
          <w:szCs w:val="32"/>
        </w:rPr>
        <w:t>第五条</w:t>
      </w:r>
      <w:r>
        <w:rPr>
          <w:rFonts w:cs="Times New Roman"/>
          <w:szCs w:val="32"/>
        </w:rPr>
        <w:t xml:space="preserve"> </w:t>
      </w:r>
      <w:r w:rsidR="00CC39A1">
        <w:rPr>
          <w:rFonts w:cs="Times New Roman" w:hint="eastAsia"/>
          <w:szCs w:val="32"/>
        </w:rPr>
        <w:t xml:space="preserve"> </w:t>
      </w:r>
      <w:r>
        <w:rPr>
          <w:rFonts w:cs="Times New Roman" w:hint="eastAsia"/>
          <w:color w:val="000000"/>
        </w:rPr>
        <w:t>“</w:t>
      </w:r>
      <w:r>
        <w:rPr>
          <w:rFonts w:cs="Times New Roman"/>
          <w:color w:val="000000"/>
        </w:rPr>
        <w:t>优生优培</w:t>
      </w:r>
      <w:r>
        <w:rPr>
          <w:rFonts w:cs="Times New Roman" w:hint="eastAsia"/>
          <w:color w:val="000000"/>
        </w:rPr>
        <w:t>”</w:t>
      </w:r>
      <w:r>
        <w:rPr>
          <w:rFonts w:cs="Times New Roman"/>
          <w:szCs w:val="32"/>
        </w:rPr>
        <w:t>资助计划研究生的选拔对象为获得推荐免试资格的优秀应届本科毕业生。</w:t>
      </w:r>
    </w:p>
    <w:p w:rsidR="009866BB" w:rsidP="00CC39A1">
      <w:pPr>
        <w:ind w:firstLine="640" w:firstLineChars="200"/>
        <w:jc w:val="both"/>
        <w:rPr>
          <w:rFonts w:cs="Times New Roman"/>
          <w:szCs w:val="32"/>
        </w:rPr>
      </w:pPr>
      <w:r>
        <w:rPr>
          <w:rFonts w:cs="Times New Roman"/>
          <w:b/>
          <w:szCs w:val="32"/>
        </w:rPr>
        <w:t>第六条</w:t>
      </w:r>
      <w:r>
        <w:rPr>
          <w:rFonts w:cs="Times New Roman"/>
          <w:b/>
          <w:szCs w:val="32"/>
        </w:rPr>
        <w:t xml:space="preserve">  </w:t>
      </w:r>
      <w:r>
        <w:rPr>
          <w:rFonts w:cs="Times New Roman"/>
          <w:szCs w:val="32"/>
        </w:rPr>
        <w:t>在应届本科毕业生中选拔</w:t>
      </w:r>
      <w:r>
        <w:rPr>
          <w:rFonts w:cs="Times New Roman" w:hint="eastAsia"/>
          <w:color w:val="000000"/>
        </w:rPr>
        <w:t>“</w:t>
      </w:r>
      <w:r>
        <w:rPr>
          <w:rFonts w:cs="Times New Roman"/>
          <w:color w:val="000000"/>
        </w:rPr>
        <w:t>优生优培</w:t>
      </w:r>
      <w:r>
        <w:rPr>
          <w:rFonts w:cs="Times New Roman" w:hint="eastAsia"/>
          <w:color w:val="000000"/>
        </w:rPr>
        <w:t>”</w:t>
      </w:r>
      <w:r>
        <w:rPr>
          <w:rFonts w:cs="Times New Roman"/>
          <w:szCs w:val="32"/>
        </w:rPr>
        <w:t>研究生应符合下列条件：</w:t>
      </w:r>
    </w:p>
    <w:p w:rsidR="009866BB">
      <w:pPr>
        <w:ind w:firstLine="640" w:firstLineChars="200"/>
        <w:jc w:val="both"/>
        <w:rPr>
          <w:rFonts w:cs="Times New Roman"/>
          <w:szCs w:val="32"/>
        </w:rPr>
      </w:pPr>
      <w:r>
        <w:rPr>
          <w:rFonts w:cs="Times New Roman"/>
          <w:szCs w:val="32"/>
        </w:rPr>
        <w:t>（一）申请人应在本校或其他</w:t>
      </w:r>
      <w:r>
        <w:rPr>
          <w:rFonts w:cs="Times New Roman" w:hint="eastAsia"/>
          <w:szCs w:val="32"/>
        </w:rPr>
        <w:t>“</w:t>
      </w:r>
      <w:r>
        <w:rPr>
          <w:rFonts w:cs="Times New Roman"/>
          <w:szCs w:val="32"/>
        </w:rPr>
        <w:t>双一流建设</w:t>
      </w:r>
      <w:r>
        <w:rPr>
          <w:rFonts w:cs="Times New Roman" w:hint="eastAsia"/>
          <w:szCs w:val="32"/>
        </w:rPr>
        <w:t>”</w:t>
      </w:r>
      <w:r>
        <w:rPr>
          <w:rFonts w:cs="Times New Roman"/>
          <w:szCs w:val="32"/>
        </w:rPr>
        <w:t>A</w:t>
      </w:r>
      <w:r>
        <w:rPr>
          <w:rFonts w:cs="Times New Roman"/>
          <w:szCs w:val="32"/>
        </w:rPr>
        <w:t>类高校获得推荐免试研究生资格；</w:t>
      </w:r>
    </w:p>
    <w:p w:rsidR="009866BB">
      <w:pPr>
        <w:ind w:firstLine="640" w:firstLineChars="200"/>
        <w:jc w:val="both"/>
        <w:rPr>
          <w:rFonts w:cs="Times New Roman"/>
          <w:szCs w:val="32"/>
        </w:rPr>
      </w:pPr>
      <w:r>
        <w:rPr>
          <w:rFonts w:cs="Times New Roman"/>
          <w:szCs w:val="32"/>
        </w:rPr>
        <w:t>（二）本科就读期间各方面表现良好，身心健康，本科成绩原则上应在全年级同专业综合排名的前</w:t>
      </w:r>
      <w:r>
        <w:rPr>
          <w:rFonts w:cs="Times New Roman"/>
          <w:szCs w:val="32"/>
        </w:rPr>
        <w:t>30%</w:t>
      </w:r>
      <w:r>
        <w:rPr>
          <w:rFonts w:cs="Times New Roman"/>
          <w:szCs w:val="32"/>
        </w:rPr>
        <w:t>；</w:t>
      </w:r>
    </w:p>
    <w:p w:rsidR="009866BB">
      <w:pPr>
        <w:ind w:firstLine="640" w:firstLineChars="200"/>
        <w:jc w:val="both"/>
        <w:rPr>
          <w:rFonts w:cs="Times New Roman"/>
          <w:szCs w:val="32"/>
        </w:rPr>
      </w:pPr>
      <w:r>
        <w:rPr>
          <w:rFonts w:cs="Times New Roman"/>
          <w:szCs w:val="32"/>
        </w:rPr>
        <w:t>（三）通过</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资助计划招生导师的全面考核，具备较为突出的作为博士研究生培养的综合素质和培养潜力，且导师本人同意亲自培养。</w:t>
      </w:r>
    </w:p>
    <w:p w:rsidR="009866BB">
      <w:pPr>
        <w:ind w:firstLine="640" w:firstLineChars="200"/>
        <w:jc w:val="both"/>
        <w:rPr>
          <w:rFonts w:cs="Times New Roman"/>
          <w:szCs w:val="32"/>
        </w:rPr>
      </w:pPr>
      <w:r>
        <w:rPr>
          <w:rFonts w:cs="Times New Roman"/>
          <w:szCs w:val="32"/>
        </w:rPr>
        <w:t>对于少数本科成绩综合排名未进入全年级同专业前</w:t>
      </w:r>
      <w:r>
        <w:rPr>
          <w:rFonts w:cs="Times New Roman"/>
          <w:szCs w:val="32"/>
        </w:rPr>
        <w:t>30%</w:t>
      </w:r>
      <w:r>
        <w:rPr>
          <w:rFonts w:cs="Times New Roman"/>
          <w:szCs w:val="32"/>
        </w:rPr>
        <w:t>，但招生导师认为其综合素质和培养潜能特别突出的考生，可由招生导师向学校提出破格选拔申请，并按要求提交《中山大学博士研究生</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资助计划破格选拔申请表》，经学校研究生招生工作领导小组审批同意后，可进行破格选拔。</w:t>
      </w:r>
    </w:p>
    <w:p w:rsidR="009866BB" w:rsidP="00CC39A1">
      <w:pPr>
        <w:ind w:firstLine="640" w:firstLineChars="200"/>
        <w:jc w:val="both"/>
        <w:rPr>
          <w:rFonts w:cs="Times New Roman"/>
          <w:szCs w:val="32"/>
        </w:rPr>
      </w:pPr>
      <w:r>
        <w:rPr>
          <w:rFonts w:cs="Times New Roman"/>
          <w:b/>
          <w:szCs w:val="32"/>
        </w:rPr>
        <w:t>第七条</w:t>
      </w:r>
      <w:r>
        <w:rPr>
          <w:rFonts w:cs="Times New Roman"/>
          <w:b/>
          <w:szCs w:val="32"/>
        </w:rPr>
        <w:t xml:space="preserve">  </w:t>
      </w:r>
      <w:r>
        <w:rPr>
          <w:rFonts w:cs="Times New Roman"/>
          <w:szCs w:val="32"/>
        </w:rPr>
        <w:t>学校于每年</w:t>
      </w:r>
      <w:r>
        <w:rPr>
          <w:rFonts w:cs="Times New Roman"/>
          <w:szCs w:val="32"/>
        </w:rPr>
        <w:t>7</w:t>
      </w:r>
      <w:r>
        <w:rPr>
          <w:rFonts w:cs="Times New Roman"/>
          <w:szCs w:val="32"/>
        </w:rPr>
        <w:t>月，在研究生院网站公布</w:t>
      </w:r>
      <w:r>
        <w:rPr>
          <w:rFonts w:cs="Times New Roman" w:hint="eastAsia"/>
          <w:szCs w:val="32"/>
        </w:rPr>
        <w:t>“优生优培”</w:t>
      </w:r>
      <w:r>
        <w:rPr>
          <w:rFonts w:cs="Times New Roman"/>
          <w:szCs w:val="32"/>
        </w:rPr>
        <w:t>资助计划招生导师名单，符合</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资助计划博士研究生招生选拔基本条件的应届本科毕业生，须于每年</w:t>
      </w:r>
      <w:r>
        <w:rPr>
          <w:rFonts w:cs="Times New Roman"/>
          <w:szCs w:val="32"/>
        </w:rPr>
        <w:t>9</w:t>
      </w:r>
      <w:r>
        <w:rPr>
          <w:rFonts w:cs="Times New Roman"/>
          <w:szCs w:val="32"/>
        </w:rPr>
        <w:t>月底前向研究生培养单位提出申请，并按要求填报《中山大学</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资助计划博士研究生报读申请表》，提交相关申请材料。</w:t>
      </w:r>
    </w:p>
    <w:p w:rsidR="009866BB" w:rsidP="00CC39A1">
      <w:pPr>
        <w:ind w:firstLine="640" w:firstLineChars="200"/>
        <w:jc w:val="both"/>
        <w:rPr>
          <w:rFonts w:cs="Times New Roman"/>
          <w:szCs w:val="32"/>
        </w:rPr>
      </w:pPr>
      <w:r>
        <w:rPr>
          <w:rFonts w:cs="Times New Roman"/>
          <w:b/>
          <w:szCs w:val="32"/>
        </w:rPr>
        <w:t>第八条</w:t>
      </w:r>
      <w:r>
        <w:rPr>
          <w:rFonts w:cs="Times New Roman"/>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资助计划研究生的招生选拔工作与学</w:t>
      </w:r>
      <w:r>
        <w:rPr>
          <w:rFonts w:cs="Times New Roman"/>
          <w:szCs w:val="32"/>
        </w:rPr>
        <w:t>校每年接收免试研究生工作同步进行，</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招生导师及研究生培养单位，须于每年</w:t>
      </w:r>
      <w:r>
        <w:rPr>
          <w:rFonts w:cs="Times New Roman"/>
          <w:szCs w:val="32"/>
        </w:rPr>
        <w:t>10</w:t>
      </w:r>
      <w:r>
        <w:rPr>
          <w:rFonts w:cs="Times New Roman"/>
          <w:szCs w:val="32"/>
        </w:rPr>
        <w:t>月底前完成对报读</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资助计划研究生申请者的选拔考核工作，确定人选。</w:t>
      </w:r>
    </w:p>
    <w:p w:rsidR="009866BB" w:rsidP="00CC39A1">
      <w:pPr>
        <w:ind w:firstLine="640" w:firstLineChars="200"/>
        <w:jc w:val="both"/>
        <w:rPr>
          <w:rFonts w:cs="Times New Roman"/>
          <w:szCs w:val="32"/>
        </w:rPr>
      </w:pPr>
      <w:r>
        <w:rPr>
          <w:rFonts w:cs="Times New Roman"/>
          <w:b/>
          <w:szCs w:val="32"/>
        </w:rPr>
        <w:t>第九条</w:t>
      </w:r>
      <w:r>
        <w:rPr>
          <w:rFonts w:cs="Times New Roman"/>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资助计划研究生的选拔</w:t>
      </w:r>
      <w:r>
        <w:rPr>
          <w:rFonts w:cs="Times New Roman" w:hint="eastAsia"/>
          <w:szCs w:val="32"/>
        </w:rPr>
        <w:t>，</w:t>
      </w:r>
      <w:r>
        <w:rPr>
          <w:rFonts w:cs="Times New Roman"/>
          <w:szCs w:val="32"/>
        </w:rPr>
        <w:t>实行招生导师负责制。</w:t>
      </w:r>
    </w:p>
    <w:p w:rsidR="009866BB">
      <w:pPr>
        <w:ind w:firstLine="640" w:firstLineChars="200"/>
        <w:jc w:val="both"/>
        <w:rPr>
          <w:rFonts w:cs="Times New Roman"/>
          <w:szCs w:val="32"/>
        </w:rPr>
      </w:pPr>
      <w:r>
        <w:rPr>
          <w:rFonts w:cs="Times New Roman"/>
          <w:szCs w:val="32"/>
        </w:rPr>
        <w:t>对获得推荐免试资格的应届本科毕业生的复试录取程序及选拔考核，参照学校接收优秀应届本科毕业生免试攻读研究生工作相关规定执行。</w:t>
      </w:r>
    </w:p>
    <w:p w:rsidR="009866BB">
      <w:pPr>
        <w:pStyle w:val="ListParagraph"/>
        <w:ind w:firstLine="626"/>
        <w:jc w:val="both"/>
        <w:rPr>
          <w:rFonts w:ascii="Times New Roman" w:eastAsia="仿宋_GB2312" w:hAnsi="Times New Roman" w:cs="Times New Roman"/>
          <w:sz w:val="32"/>
          <w:szCs w:val="32"/>
        </w:rPr>
      </w:pPr>
      <w:r>
        <w:rPr>
          <w:rFonts w:ascii="Times New Roman" w:eastAsia="仿宋_GB2312" w:hAnsi="Times New Roman" w:cs="Times New Roman"/>
          <w:b/>
          <w:sz w:val="32"/>
          <w:szCs w:val="32"/>
        </w:rPr>
        <w:t>第十条</w:t>
      </w:r>
      <w:r>
        <w:rPr>
          <w:rFonts w:ascii="Times New Roman" w:eastAsia="仿宋_GB2312" w:hAnsi="Times New Roman" w:cs="Times New Roman"/>
          <w:sz w:val="32"/>
          <w:szCs w:val="32"/>
        </w:rPr>
        <w:t xml:space="preserve">  </w:t>
      </w:r>
      <w:r>
        <w:rPr>
          <w:rFonts w:ascii="Times New Roman" w:eastAsia="仿宋_GB2312" w:hAnsi="Times New Roman" w:cs="Times New Roman"/>
          <w:sz w:val="32"/>
          <w:szCs w:val="32"/>
        </w:rPr>
        <w:t>各研究生培养单位的考核选拔结果报研究生院，经研究生院审核后报学校研究生奖助金评审领导小组审定，审定结果在全校范围内进行不少于</w:t>
      </w:r>
      <w:r>
        <w:rPr>
          <w:rFonts w:ascii="Times New Roman" w:eastAsia="仿宋_GB2312" w:hAnsi="Times New Roman" w:cs="Times New Roman"/>
          <w:sz w:val="32"/>
          <w:szCs w:val="32"/>
        </w:rPr>
        <w:t>3</w:t>
      </w:r>
      <w:r>
        <w:rPr>
          <w:rFonts w:ascii="Times New Roman" w:eastAsia="仿宋_GB2312" w:hAnsi="Times New Roman" w:cs="Times New Roman"/>
          <w:sz w:val="32"/>
          <w:szCs w:val="32"/>
        </w:rPr>
        <w:t>个工作日的公示。</w:t>
      </w:r>
    </w:p>
    <w:p w:rsidR="009866BB">
      <w:pPr>
        <w:autoSpaceDE w:val="0"/>
        <w:autoSpaceDN w:val="0"/>
        <w:ind w:firstLine="600"/>
        <w:jc w:val="both"/>
        <w:rPr>
          <w:rFonts w:cs="Times New Roman"/>
          <w:kern w:val="0"/>
          <w:szCs w:val="32"/>
          <w:lang w:val="zh-CN"/>
        </w:rPr>
      </w:pPr>
      <w:r>
        <w:rPr>
          <w:rFonts w:cs="Times New Roman"/>
          <w:b/>
          <w:kern w:val="0"/>
          <w:szCs w:val="32"/>
          <w:lang w:val="zh-CN"/>
        </w:rPr>
        <w:t>第十一条</w:t>
      </w:r>
      <w:r>
        <w:rPr>
          <w:rFonts w:cs="Times New Roman"/>
          <w:kern w:val="0"/>
          <w:szCs w:val="32"/>
          <w:lang w:val="zh-CN"/>
        </w:rPr>
        <w:t xml:space="preserve">  </w:t>
      </w:r>
      <w:r>
        <w:rPr>
          <w:rFonts w:cs="Times New Roman"/>
          <w:kern w:val="0"/>
          <w:szCs w:val="32"/>
          <w:lang w:val="zh-CN"/>
        </w:rPr>
        <w:t>研究生对</w:t>
      </w:r>
      <w:r>
        <w:rPr>
          <w:rFonts w:cs="Times New Roman"/>
          <w:szCs w:val="32"/>
        </w:rPr>
        <w:t>研究生培养单位</w:t>
      </w:r>
      <w:r>
        <w:rPr>
          <w:rFonts w:cs="Times New Roman"/>
          <w:kern w:val="0"/>
          <w:szCs w:val="32"/>
          <w:lang w:val="zh-CN"/>
        </w:rPr>
        <w:t>的考核选拔结果有异议，可在本</w:t>
      </w:r>
      <w:r>
        <w:rPr>
          <w:rFonts w:cs="Times New Roman"/>
          <w:szCs w:val="32"/>
        </w:rPr>
        <w:t>单位</w:t>
      </w:r>
      <w:r>
        <w:rPr>
          <w:rFonts w:cs="Times New Roman"/>
          <w:kern w:val="0"/>
          <w:szCs w:val="32"/>
          <w:lang w:val="zh-CN"/>
        </w:rPr>
        <w:t>公示阶段向本单位研究生奖助金评审委员会提出申诉，评审委员会应及时复议并在考核选拔结果提交研究生院之前予以答复。对学校审定并公示的考核选拔结果有异议者，可在学校公示阶段向研究生院提出申诉，由研究生院报学校研究生奖助金评审领导小组审定后予以答复。</w:t>
      </w:r>
    </w:p>
    <w:p w:rsidR="009866BB">
      <w:pPr>
        <w:ind w:firstLine="640" w:firstLineChars="200"/>
        <w:rPr>
          <w:rFonts w:cs="Times New Roman"/>
          <w:szCs w:val="32"/>
        </w:rPr>
      </w:pPr>
    </w:p>
    <w:p w:rsidR="009866BB">
      <w:pPr>
        <w:jc w:val="center"/>
        <w:rPr>
          <w:rFonts w:eastAsia="黑体" w:cs="Times New Roman"/>
          <w:color w:val="000000"/>
          <w:szCs w:val="32"/>
        </w:rPr>
      </w:pPr>
      <w:r>
        <w:rPr>
          <w:rFonts w:eastAsia="黑体" w:cs="Times New Roman" w:hint="eastAsia"/>
          <w:color w:val="000000"/>
          <w:szCs w:val="32"/>
        </w:rPr>
        <w:t>第三章</w:t>
      </w:r>
      <w:r>
        <w:rPr>
          <w:rFonts w:eastAsia="黑体" w:cs="Times New Roman" w:hint="eastAsia"/>
          <w:color w:val="000000"/>
          <w:szCs w:val="32"/>
        </w:rPr>
        <w:t xml:space="preserve">  </w:t>
      </w:r>
      <w:r>
        <w:rPr>
          <w:rFonts w:eastAsia="黑体" w:cs="Times New Roman"/>
          <w:color w:val="000000"/>
          <w:szCs w:val="32"/>
        </w:rPr>
        <w:t>招生导师及招生计划</w:t>
      </w:r>
    </w:p>
    <w:p w:rsidR="009866BB" w:rsidP="00CC39A1">
      <w:pPr>
        <w:ind w:firstLine="640" w:firstLineChars="200"/>
        <w:jc w:val="both"/>
        <w:rPr>
          <w:rFonts w:cs="Times New Roman"/>
          <w:szCs w:val="32"/>
        </w:rPr>
      </w:pPr>
      <w:r>
        <w:rPr>
          <w:rFonts w:cs="Times New Roman"/>
          <w:b/>
          <w:szCs w:val="32"/>
        </w:rPr>
        <w:t>第十二条</w:t>
      </w:r>
      <w:r>
        <w:rPr>
          <w:rFonts w:cs="Times New Roman"/>
          <w:szCs w:val="32"/>
        </w:rPr>
        <w:t xml:space="preserve">  </w:t>
      </w:r>
      <w:r>
        <w:rPr>
          <w:rFonts w:cs="Times New Roman"/>
          <w:szCs w:val="32"/>
        </w:rPr>
        <w:t>学校确定</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资助计划招生导师时，将侧重支持近年来承担国家重大科研任务，科研活跃且科研成果突出的博士研究生导师。研究生院每年根据《中山大学博士研究生招生计划编制方案》中</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资助计划指标体系，动态确</w:t>
      </w:r>
      <w:r>
        <w:rPr>
          <w:rFonts w:cs="Times New Roman"/>
          <w:szCs w:val="32"/>
        </w:rPr>
        <w:t>定当年入选</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资助计划的招生导师名单</w:t>
      </w:r>
      <w:r>
        <w:rPr>
          <w:rFonts w:cs="Times New Roman" w:hint="eastAsia"/>
          <w:szCs w:val="32"/>
        </w:rPr>
        <w:t>。</w:t>
      </w:r>
      <w:r>
        <w:rPr>
          <w:rFonts w:cs="Times New Roman"/>
          <w:szCs w:val="32"/>
        </w:rPr>
        <w:t>入选</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资助计划的导师人数，每年约为</w:t>
      </w:r>
      <w:r>
        <w:rPr>
          <w:rFonts w:cs="Times New Roman"/>
          <w:szCs w:val="32"/>
        </w:rPr>
        <w:t>150</w:t>
      </w:r>
      <w:r>
        <w:rPr>
          <w:rFonts w:cs="Times New Roman"/>
          <w:szCs w:val="32"/>
        </w:rPr>
        <w:t>名。</w:t>
      </w:r>
    </w:p>
    <w:p w:rsidR="009866BB" w:rsidP="00CC39A1">
      <w:pPr>
        <w:ind w:firstLine="640" w:firstLineChars="200"/>
        <w:jc w:val="both"/>
        <w:rPr>
          <w:rFonts w:cs="Times New Roman"/>
          <w:szCs w:val="32"/>
        </w:rPr>
      </w:pPr>
      <w:r>
        <w:rPr>
          <w:rFonts w:cs="Times New Roman"/>
          <w:b/>
          <w:szCs w:val="32"/>
        </w:rPr>
        <w:t>第十三条</w:t>
      </w:r>
      <w:r>
        <w:rPr>
          <w:rFonts w:cs="Times New Roman"/>
          <w:b/>
          <w:szCs w:val="32"/>
        </w:rPr>
        <w:t xml:space="preserve">  </w:t>
      </w:r>
      <w:r>
        <w:rPr>
          <w:rFonts w:cs="Times New Roman"/>
          <w:szCs w:val="32"/>
        </w:rPr>
        <w:t>研究生院根据当年入选</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资助计划招生导师的人数，配置</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招生计划数约</w:t>
      </w:r>
      <w:r>
        <w:rPr>
          <w:rFonts w:cs="Times New Roman"/>
          <w:szCs w:val="32"/>
        </w:rPr>
        <w:t>150</w:t>
      </w:r>
      <w:r>
        <w:rPr>
          <w:rFonts w:cs="Times New Roman"/>
          <w:szCs w:val="32"/>
        </w:rPr>
        <w:t>名（含招收直博生计划与作为硕博连读培养的硕士生计划），并确定各研究生培养单位</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研究生招生计划数。</w:t>
      </w:r>
    </w:p>
    <w:p w:rsidR="009866BB" w:rsidP="00CC39A1">
      <w:pPr>
        <w:ind w:firstLine="640" w:firstLineChars="200"/>
        <w:jc w:val="both"/>
        <w:rPr>
          <w:rFonts w:cs="Times New Roman"/>
          <w:szCs w:val="32"/>
        </w:rPr>
      </w:pPr>
      <w:r>
        <w:rPr>
          <w:rFonts w:cs="Times New Roman"/>
          <w:b/>
          <w:szCs w:val="32"/>
        </w:rPr>
        <w:t>第十四条</w:t>
      </w:r>
      <w:r>
        <w:rPr>
          <w:rFonts w:cs="Times New Roman"/>
          <w:b/>
          <w:szCs w:val="32"/>
        </w:rPr>
        <w:t xml:space="preserve">  </w:t>
      </w:r>
      <w:r>
        <w:rPr>
          <w:rFonts w:cs="Times New Roman"/>
          <w:szCs w:val="32"/>
        </w:rPr>
        <w:t>获得</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直博生招生计划的导师招收应届本科毕业生作为</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直博生，不占用研究生培养单位当年的博士研究生招生计划，该博士研究生招生计划由学校单列下达，但需占用研究生培养单位当年的推荐免试直博生接收计划。</w:t>
      </w:r>
    </w:p>
    <w:p w:rsidR="009866BB">
      <w:pPr>
        <w:ind w:firstLine="640" w:firstLineChars="200"/>
        <w:jc w:val="both"/>
        <w:rPr>
          <w:rFonts w:cs="Times New Roman"/>
          <w:szCs w:val="32"/>
        </w:rPr>
      </w:pPr>
      <w:r>
        <w:rPr>
          <w:rFonts w:cs="Times New Roman"/>
          <w:szCs w:val="32"/>
        </w:rPr>
        <w:t>获得</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硕博连读生招生计划的导师招收应届本科毕业生作为</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硕博连读生，需占用研究生培养单位当年的硕士研究生招生计划和推荐免试硕士生接收计划，两年后进入博士生阶段招生年份时不占用研究生培养单位的博士研究生招生计划，该博士研究生招生计划由学校单列下达。</w:t>
      </w:r>
    </w:p>
    <w:p w:rsidR="009866BB" w:rsidP="00CC39A1">
      <w:pPr>
        <w:ind w:firstLine="640" w:firstLineChars="200"/>
        <w:jc w:val="both"/>
        <w:rPr>
          <w:rFonts w:cs="Times New Roman"/>
          <w:szCs w:val="32"/>
        </w:rPr>
      </w:pPr>
      <w:r>
        <w:rPr>
          <w:rFonts w:cs="Times New Roman"/>
          <w:b/>
          <w:szCs w:val="32"/>
        </w:rPr>
        <w:t>第十五条</w:t>
      </w:r>
      <w:r>
        <w:rPr>
          <w:rFonts w:cs="Times New Roman"/>
          <w:b/>
          <w:szCs w:val="32"/>
        </w:rPr>
        <w:t xml:space="preserve">  </w:t>
      </w:r>
      <w:r>
        <w:rPr>
          <w:rFonts w:cs="Times New Roman"/>
          <w:szCs w:val="32"/>
        </w:rPr>
        <w:t>当年入选</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资助计划的招生导师，可获得一个</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直博生或作为硕博连读培养的硕士研究生招生计划名额。研究生培养单位不得因此减少</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资助计划招生导师应在研究生培养单位获得的其他类型的博士或硕士研究生招生计划名额。</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资助计划招生导师当年未能招收到</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资助计划研究生，学校将收回已下达的</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研究生招生计划名额。</w:t>
      </w:r>
    </w:p>
    <w:p w:rsidR="009866BB">
      <w:pPr>
        <w:ind w:firstLine="640" w:firstLineChars="200"/>
        <w:rPr>
          <w:rFonts w:cs="Times New Roman"/>
          <w:szCs w:val="32"/>
        </w:rPr>
      </w:pPr>
    </w:p>
    <w:p w:rsidR="009866BB">
      <w:pPr>
        <w:jc w:val="center"/>
        <w:rPr>
          <w:rFonts w:eastAsia="黑体" w:cs="Times New Roman"/>
          <w:color w:val="000000"/>
          <w:szCs w:val="32"/>
        </w:rPr>
      </w:pPr>
      <w:r>
        <w:rPr>
          <w:rFonts w:eastAsia="黑体" w:cs="Times New Roman" w:hint="eastAsia"/>
          <w:color w:val="000000"/>
          <w:szCs w:val="32"/>
        </w:rPr>
        <w:t>第四章</w:t>
      </w:r>
      <w:r>
        <w:rPr>
          <w:rFonts w:eastAsia="黑体" w:cs="Times New Roman" w:hint="eastAsia"/>
          <w:color w:val="000000"/>
          <w:szCs w:val="32"/>
        </w:rPr>
        <w:t xml:space="preserve">  </w:t>
      </w:r>
      <w:r>
        <w:rPr>
          <w:rFonts w:eastAsia="黑体" w:cs="Times New Roman"/>
          <w:color w:val="000000"/>
          <w:szCs w:val="32"/>
        </w:rPr>
        <w:t>奖助额度及研究生导师配套投入</w:t>
      </w:r>
    </w:p>
    <w:p w:rsidR="009866BB" w:rsidP="00CC39A1">
      <w:pPr>
        <w:ind w:firstLine="640" w:firstLineChars="200"/>
        <w:jc w:val="both"/>
        <w:rPr>
          <w:rFonts w:cs="Times New Roman"/>
          <w:szCs w:val="32"/>
        </w:rPr>
      </w:pPr>
      <w:r>
        <w:rPr>
          <w:rFonts w:cs="Times New Roman"/>
          <w:b/>
          <w:szCs w:val="32"/>
        </w:rPr>
        <w:t>第十六条</w:t>
      </w:r>
      <w:r>
        <w:rPr>
          <w:rFonts w:cs="Times New Roman"/>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奖助金由学业奖学金、学业助学金（含国家财政投入和学校投入）和研究生导师配套投入组成。在基本修业年限内，在校期间学业奖学金每学年一次性发放，学业助学金和研究生导师配套投入按月发放。</w:t>
      </w:r>
    </w:p>
    <w:p w:rsidR="009866BB" w:rsidP="00CC39A1">
      <w:pPr>
        <w:ind w:firstLine="640" w:firstLineChars="200"/>
        <w:jc w:val="both"/>
        <w:rPr>
          <w:rFonts w:cs="Times New Roman"/>
          <w:szCs w:val="32"/>
        </w:rPr>
      </w:pPr>
      <w:r>
        <w:rPr>
          <w:rFonts w:cs="Times New Roman"/>
          <w:b/>
          <w:szCs w:val="32"/>
        </w:rPr>
        <w:t>第十七条</w:t>
      </w:r>
      <w:r>
        <w:rPr>
          <w:rFonts w:cs="Times New Roman"/>
          <w:b/>
          <w:szCs w:val="32"/>
        </w:rPr>
        <w:t xml:space="preserve">  </w:t>
      </w:r>
      <w:r>
        <w:rPr>
          <w:rFonts w:cs="Times New Roman"/>
          <w:szCs w:val="32"/>
        </w:rPr>
        <w:t>入选</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资助计划的直博生以及作为硕博连读培养的研究生，每学年可获奖助金额度及构成见附表。</w:t>
      </w:r>
    </w:p>
    <w:p w:rsidR="009866BB" w:rsidP="00CC39A1">
      <w:pPr>
        <w:ind w:firstLine="640" w:firstLineChars="200"/>
        <w:jc w:val="both"/>
        <w:rPr>
          <w:rFonts w:cs="Times New Roman"/>
          <w:szCs w:val="32"/>
        </w:rPr>
      </w:pPr>
      <w:r>
        <w:rPr>
          <w:rFonts w:cs="Times New Roman"/>
          <w:b/>
          <w:szCs w:val="32"/>
        </w:rPr>
        <w:t>第十八条</w:t>
      </w:r>
      <w:r>
        <w:rPr>
          <w:rFonts w:cs="Times New Roman"/>
          <w:szCs w:val="32"/>
        </w:rPr>
        <w:t xml:space="preserve">  </w:t>
      </w:r>
      <w:r>
        <w:rPr>
          <w:rFonts w:cs="Times New Roman"/>
          <w:szCs w:val="32"/>
        </w:rPr>
        <w:t>除少数获得本计划支持的基础学科和从事基础理论研究的招生导师所招收的</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资助计划研究生的导师配套投入全部由学校投入外，其他招生导师须按第十七条规定的标准配套投入经费。</w:t>
      </w:r>
    </w:p>
    <w:p w:rsidR="009866BB">
      <w:pPr>
        <w:jc w:val="center"/>
        <w:rPr>
          <w:rFonts w:eastAsia="黑体" w:cs="Times New Roman"/>
          <w:color w:val="000000"/>
          <w:szCs w:val="32"/>
        </w:rPr>
      </w:pPr>
    </w:p>
    <w:p w:rsidR="009866BB">
      <w:pPr>
        <w:jc w:val="center"/>
        <w:rPr>
          <w:rFonts w:eastAsia="黑体" w:cs="Times New Roman"/>
          <w:color w:val="000000"/>
          <w:szCs w:val="32"/>
        </w:rPr>
      </w:pPr>
      <w:r>
        <w:rPr>
          <w:rFonts w:eastAsia="黑体" w:cs="Times New Roman" w:hint="eastAsia"/>
          <w:color w:val="000000"/>
          <w:szCs w:val="32"/>
        </w:rPr>
        <w:t>第五章</w:t>
      </w:r>
      <w:r>
        <w:rPr>
          <w:rFonts w:eastAsia="黑体" w:cs="Times New Roman" w:hint="eastAsia"/>
          <w:color w:val="000000"/>
          <w:szCs w:val="32"/>
        </w:rPr>
        <w:t xml:space="preserve">  </w:t>
      </w:r>
      <w:r>
        <w:rPr>
          <w:rFonts w:eastAsia="黑体" w:cs="Times New Roman"/>
          <w:color w:val="000000"/>
          <w:szCs w:val="32"/>
        </w:rPr>
        <w:t>学业考核及淘汰分流</w:t>
      </w:r>
    </w:p>
    <w:p w:rsidR="009866BB" w:rsidP="00CC39A1">
      <w:pPr>
        <w:ind w:firstLine="640" w:firstLineChars="200"/>
        <w:jc w:val="both"/>
        <w:rPr>
          <w:rFonts w:cs="Times New Roman"/>
          <w:szCs w:val="32"/>
        </w:rPr>
      </w:pPr>
      <w:r>
        <w:rPr>
          <w:rFonts w:cs="Times New Roman"/>
          <w:b/>
          <w:szCs w:val="32"/>
        </w:rPr>
        <w:t>第十九条</w:t>
      </w:r>
      <w:r>
        <w:rPr>
          <w:rFonts w:cs="Times New Roman"/>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资助计划研究生在学期间其学业应达到以下基本要求：</w:t>
      </w:r>
    </w:p>
    <w:p w:rsidR="009866BB">
      <w:pPr>
        <w:ind w:firstLine="640" w:firstLineChars="200"/>
        <w:jc w:val="both"/>
        <w:rPr>
          <w:rFonts w:cs="Times New Roman"/>
          <w:szCs w:val="32"/>
        </w:rPr>
      </w:pPr>
      <w:r>
        <w:rPr>
          <w:rFonts w:cs="Times New Roman"/>
          <w:szCs w:val="32"/>
        </w:rPr>
        <w:t>（一）必修课成绩须合格，选修课成绩须及格（不含重考、补考、重修）</w:t>
      </w:r>
      <w:r>
        <w:rPr>
          <w:rFonts w:cs="Times New Roman" w:hint="eastAsia"/>
          <w:szCs w:val="32"/>
        </w:rPr>
        <w:t>；</w:t>
      </w:r>
    </w:p>
    <w:p w:rsidR="009866BB">
      <w:pPr>
        <w:ind w:firstLine="640" w:firstLineChars="200"/>
        <w:jc w:val="both"/>
        <w:rPr>
          <w:rFonts w:cs="Times New Roman"/>
          <w:szCs w:val="32"/>
        </w:rPr>
      </w:pPr>
      <w:r>
        <w:rPr>
          <w:rFonts w:cs="Times New Roman"/>
          <w:szCs w:val="32"/>
        </w:rPr>
        <w:t>（二）按规定时间完成本专业培养计划中的开题、中期考核等环节，并达到要求，且原则上不得申请推迟；</w:t>
      </w:r>
    </w:p>
    <w:p w:rsidR="009866BB">
      <w:pPr>
        <w:ind w:firstLine="640" w:firstLineChars="200"/>
        <w:jc w:val="both"/>
        <w:rPr>
          <w:rFonts w:cs="Times New Roman"/>
          <w:szCs w:val="32"/>
        </w:rPr>
      </w:pPr>
      <w:r>
        <w:rPr>
          <w:rFonts w:cs="Times New Roman"/>
          <w:szCs w:val="32"/>
        </w:rPr>
        <w:t>（三）通过导师和考核小组各阶段的考核，具备较强的从事前沿性、创新性研究的潜力和水平；</w:t>
      </w:r>
    </w:p>
    <w:p w:rsidR="009866BB">
      <w:pPr>
        <w:ind w:firstLine="640" w:firstLineChars="200"/>
        <w:jc w:val="both"/>
        <w:rPr>
          <w:rFonts w:cs="Times New Roman"/>
          <w:szCs w:val="32"/>
        </w:rPr>
      </w:pPr>
      <w:r>
        <w:rPr>
          <w:rFonts w:cs="Times New Roman"/>
          <w:szCs w:val="32"/>
        </w:rPr>
        <w:t>（四）在学期间应取得导师在培养计划中所规定的高水平学术研究成果；</w:t>
      </w:r>
    </w:p>
    <w:p w:rsidR="009866BB">
      <w:pPr>
        <w:ind w:firstLine="640" w:firstLineChars="200"/>
        <w:jc w:val="both"/>
        <w:rPr>
          <w:rFonts w:cs="Times New Roman"/>
          <w:szCs w:val="32"/>
        </w:rPr>
      </w:pPr>
      <w:r>
        <w:rPr>
          <w:rFonts w:cs="Times New Roman"/>
          <w:szCs w:val="32"/>
        </w:rPr>
        <w:t>（五）在第四学年的学年考核前，应至少参加过一次本专业国际学术会议且论文被会议接受。</w:t>
      </w:r>
    </w:p>
    <w:p w:rsidR="009866BB" w:rsidP="00CC39A1">
      <w:pPr>
        <w:ind w:firstLine="640" w:firstLineChars="200"/>
        <w:jc w:val="both"/>
        <w:rPr>
          <w:rFonts w:cs="Times New Roman"/>
          <w:szCs w:val="32"/>
        </w:rPr>
      </w:pPr>
      <w:r>
        <w:rPr>
          <w:rFonts w:cs="Times New Roman"/>
          <w:b/>
          <w:szCs w:val="32"/>
        </w:rPr>
        <w:t>第二十条</w:t>
      </w:r>
      <w:r>
        <w:rPr>
          <w:rFonts w:cs="Times New Roman"/>
          <w:b/>
          <w:szCs w:val="32"/>
        </w:rPr>
        <w:t xml:space="preserve"> </w:t>
      </w:r>
      <w:r w:rsidR="00CC39A1">
        <w:rPr>
          <w:rFonts w:cs="Times New Roman" w:hint="eastAsia"/>
          <w:b/>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资助计划研究生除按研究生管理相关规定参加常规考核外，还须参加本办法规定的学期考查和学年考核。</w:t>
      </w:r>
      <w:r>
        <w:rPr>
          <w:rFonts w:cs="Times New Roman"/>
          <w:szCs w:val="32"/>
        </w:rPr>
        <w:t xml:space="preserve"> </w:t>
      </w:r>
    </w:p>
    <w:p w:rsidR="009866BB" w:rsidP="00CC39A1">
      <w:pPr>
        <w:ind w:firstLine="640" w:firstLineChars="200"/>
        <w:jc w:val="both"/>
        <w:rPr>
          <w:rFonts w:cs="Times New Roman"/>
          <w:szCs w:val="32"/>
        </w:rPr>
      </w:pPr>
      <w:r>
        <w:rPr>
          <w:rFonts w:cs="Times New Roman"/>
          <w:b/>
          <w:szCs w:val="32"/>
        </w:rPr>
        <w:t>第二十一条</w:t>
      </w:r>
      <w:r>
        <w:rPr>
          <w:rFonts w:cs="Times New Roman"/>
          <w:b/>
          <w:szCs w:val="32"/>
        </w:rPr>
        <w:t xml:space="preserve">  </w:t>
      </w:r>
      <w:r>
        <w:rPr>
          <w:rFonts w:cs="Times New Roman"/>
          <w:szCs w:val="32"/>
        </w:rPr>
        <w:t>学期考查以导师意见为主。每学年春季学期开学后的第一周，导师应对</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资助计划研究生的学习和研究进展等情况进行学期考查，并就是否继续按</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资助计划研究生培养给出明确意见。学期考查结果应及时反馈至学生本人，并在本单位内进行不少于</w:t>
      </w:r>
      <w:r>
        <w:rPr>
          <w:rFonts w:cs="Times New Roman"/>
          <w:szCs w:val="32"/>
        </w:rPr>
        <w:t>3</w:t>
      </w:r>
      <w:r>
        <w:rPr>
          <w:rFonts w:cs="Times New Roman"/>
          <w:szCs w:val="32"/>
        </w:rPr>
        <w:t>个工作日的公示。</w:t>
      </w:r>
    </w:p>
    <w:p w:rsidR="009866BB" w:rsidP="00CC39A1">
      <w:pPr>
        <w:ind w:firstLine="640" w:firstLineChars="200"/>
        <w:jc w:val="both"/>
        <w:rPr>
          <w:rFonts w:cs="Times New Roman"/>
          <w:szCs w:val="32"/>
        </w:rPr>
      </w:pPr>
      <w:r>
        <w:rPr>
          <w:rFonts w:cs="Times New Roman"/>
          <w:b/>
          <w:szCs w:val="32"/>
        </w:rPr>
        <w:t>第二十二条</w:t>
      </w:r>
      <w:r>
        <w:rPr>
          <w:rFonts w:cs="Times New Roman"/>
          <w:szCs w:val="32"/>
        </w:rPr>
        <w:t xml:space="preserve">  </w:t>
      </w:r>
      <w:r>
        <w:rPr>
          <w:rFonts w:cs="Times New Roman"/>
          <w:szCs w:val="32"/>
        </w:rPr>
        <w:t>学年考核在导师推荐学生参加考核的基础上，由学校委托研究生培养单位组织学年考核小组对</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进行全面考核。考核时间安排在每学年秋季学期的第一至第二周，每学年的秋季学期不再另设学期考查。学年考核由研究生培养单位统一组织，根据参加考核的研究生人数，成立一个或多个包括导师在内的、不少于</w:t>
      </w:r>
      <w:r>
        <w:rPr>
          <w:rFonts w:cs="Times New Roman"/>
          <w:szCs w:val="32"/>
        </w:rPr>
        <w:t>3</w:t>
      </w:r>
      <w:r>
        <w:rPr>
          <w:rFonts w:cs="Times New Roman"/>
          <w:szCs w:val="32"/>
        </w:rPr>
        <w:t>名同专业或相近专业的博士研究生导师组成的学年考核小组，对考核人选进行全面考核。</w:t>
      </w:r>
    </w:p>
    <w:p w:rsidR="009866BB">
      <w:pPr>
        <w:ind w:firstLine="640" w:firstLineChars="200"/>
        <w:jc w:val="both"/>
        <w:rPr>
          <w:rFonts w:cs="Times New Roman"/>
          <w:szCs w:val="32"/>
        </w:rPr>
      </w:pPr>
      <w:r>
        <w:rPr>
          <w:rFonts w:cs="Times New Roman"/>
          <w:szCs w:val="32"/>
        </w:rPr>
        <w:t>研究生培养单位应提前一周将学年考核时间、地点以及考核小组的组织情况报研究生院备案，研究生院可派人旁听考核过程。</w:t>
      </w:r>
      <w:r>
        <w:rPr>
          <w:rFonts w:cs="Times New Roman"/>
          <w:szCs w:val="32"/>
        </w:rPr>
        <w:t xml:space="preserve"> </w:t>
      </w:r>
    </w:p>
    <w:p w:rsidR="009866BB" w:rsidP="00CC39A1">
      <w:pPr>
        <w:ind w:firstLine="640" w:firstLineChars="200"/>
        <w:jc w:val="both"/>
        <w:rPr>
          <w:rFonts w:cs="Times New Roman"/>
          <w:szCs w:val="32"/>
        </w:rPr>
      </w:pPr>
      <w:r>
        <w:rPr>
          <w:rFonts w:cs="Times New Roman"/>
          <w:b/>
          <w:szCs w:val="32"/>
        </w:rPr>
        <w:t>第二十三条</w:t>
      </w:r>
      <w:r>
        <w:rPr>
          <w:rFonts w:cs="Times New Roman"/>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学年考核的内容除应达到第十九条规定的基本要求外，还须重点考查以下内容：第一学年重点考查该生的课程学习情况与科研潜力；第二、第三学年重点考查该生的学位论文研究计划与预期取得的创新性成果；</w:t>
      </w:r>
      <w:r>
        <w:rPr>
          <w:rFonts w:cs="Times New Roman"/>
          <w:szCs w:val="32"/>
        </w:rPr>
        <w:t>第四、第五学年重点考查该生的学位论文进展，以及论文发表、获得专利授权等情况。</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资助计划研究生最迟应于第四学年考核时，已取得本学科专业高水平的学术成果。</w:t>
      </w:r>
    </w:p>
    <w:p w:rsidR="009866BB">
      <w:pPr>
        <w:ind w:firstLine="640" w:firstLineChars="200"/>
        <w:jc w:val="both"/>
        <w:rPr>
          <w:rFonts w:cs="Times New Roman"/>
          <w:szCs w:val="32"/>
        </w:rPr>
      </w:pPr>
      <w:r>
        <w:rPr>
          <w:rFonts w:cs="Times New Roman"/>
          <w:szCs w:val="32"/>
        </w:rPr>
        <w:t>此外，还应对</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资助计划研究生承担教学助理和研究助理的工作表现进行考核。</w:t>
      </w:r>
    </w:p>
    <w:p w:rsidR="009866BB" w:rsidP="00CC39A1">
      <w:pPr>
        <w:ind w:firstLine="640" w:firstLineChars="200"/>
        <w:jc w:val="both"/>
        <w:rPr>
          <w:rFonts w:cs="Times New Roman"/>
          <w:szCs w:val="32"/>
        </w:rPr>
      </w:pPr>
      <w:r>
        <w:rPr>
          <w:rFonts w:cs="Times New Roman"/>
          <w:b/>
          <w:szCs w:val="32"/>
        </w:rPr>
        <w:t>第二十四条</w:t>
      </w:r>
      <w:r>
        <w:rPr>
          <w:rFonts w:cs="Times New Roman"/>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资助计划研究生的学年考核以公开汇报会的形式进行，考核过程对其他导师和研究生开放，每位研究生的考核时间不得少于</w:t>
      </w:r>
      <w:r>
        <w:rPr>
          <w:rFonts w:cs="Times New Roman"/>
          <w:szCs w:val="32"/>
        </w:rPr>
        <w:t>40</w:t>
      </w:r>
      <w:r>
        <w:rPr>
          <w:rFonts w:cs="Times New Roman"/>
          <w:szCs w:val="32"/>
        </w:rPr>
        <w:t>分钟。</w:t>
      </w:r>
    </w:p>
    <w:p w:rsidR="009866BB">
      <w:pPr>
        <w:ind w:firstLine="640" w:firstLineChars="200"/>
        <w:jc w:val="both"/>
        <w:rPr>
          <w:rFonts w:cs="Times New Roman"/>
          <w:szCs w:val="32"/>
        </w:rPr>
      </w:pPr>
      <w:r>
        <w:rPr>
          <w:rFonts w:cs="Times New Roman"/>
          <w:szCs w:val="32"/>
        </w:rPr>
        <w:t>学年考核小组应根据被考核者的个人汇报，围绕学年考核的重点考查内容，以学年考核小组提问，被考核者作答的方式，对被考核人进行全面考核，并就该生是否继续按</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资助计划研究生进行培养给出明确意见。</w:t>
      </w:r>
    </w:p>
    <w:p w:rsidR="009866BB">
      <w:pPr>
        <w:ind w:firstLine="640" w:firstLineChars="200"/>
        <w:jc w:val="both"/>
        <w:rPr>
          <w:rFonts w:cs="Times New Roman"/>
          <w:szCs w:val="32"/>
        </w:rPr>
      </w:pPr>
      <w:r>
        <w:rPr>
          <w:rFonts w:cs="Times New Roman"/>
          <w:szCs w:val="32"/>
        </w:rPr>
        <w:t>学年考核小组对被考核者逐一投票表决，被考核者须获得三分之二以上到会专家同意票，方为通过。学年考核结果在本单位内进行不少于</w:t>
      </w:r>
      <w:r>
        <w:rPr>
          <w:rFonts w:cs="Times New Roman"/>
          <w:szCs w:val="32"/>
        </w:rPr>
        <w:t>3</w:t>
      </w:r>
      <w:r>
        <w:rPr>
          <w:rFonts w:cs="Times New Roman"/>
          <w:szCs w:val="32"/>
        </w:rPr>
        <w:t>个工作日的公示后报研究生院复核。</w:t>
      </w:r>
    </w:p>
    <w:p w:rsidR="009866BB" w:rsidP="00CC39A1">
      <w:pPr>
        <w:ind w:firstLine="640" w:firstLineChars="200"/>
        <w:jc w:val="both"/>
        <w:rPr>
          <w:rFonts w:cs="Times New Roman"/>
          <w:szCs w:val="32"/>
        </w:rPr>
      </w:pPr>
      <w:r>
        <w:rPr>
          <w:rFonts w:cs="Times New Roman"/>
          <w:b/>
          <w:szCs w:val="32"/>
        </w:rPr>
        <w:t>第二十五条</w:t>
      </w:r>
      <w:r>
        <w:rPr>
          <w:rFonts w:cs="Times New Roman"/>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资助计划研究生出现以下情况之一者，须退出</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w:t>
      </w:r>
    </w:p>
    <w:p w:rsidR="009866BB">
      <w:pPr>
        <w:ind w:firstLine="640" w:firstLineChars="200"/>
        <w:jc w:val="both"/>
        <w:rPr>
          <w:rFonts w:cs="Times New Roman"/>
          <w:szCs w:val="32"/>
        </w:rPr>
      </w:pPr>
      <w:r>
        <w:rPr>
          <w:rFonts w:cs="Times New Roman"/>
          <w:szCs w:val="32"/>
        </w:rPr>
        <w:t>（一）未通过导师的学期考查者；</w:t>
      </w:r>
    </w:p>
    <w:p w:rsidR="009866BB">
      <w:pPr>
        <w:ind w:firstLine="640" w:firstLineChars="200"/>
        <w:jc w:val="both"/>
        <w:rPr>
          <w:rFonts w:cs="Times New Roman"/>
          <w:szCs w:val="32"/>
        </w:rPr>
      </w:pPr>
      <w:r>
        <w:rPr>
          <w:rFonts w:cs="Times New Roman"/>
          <w:szCs w:val="32"/>
        </w:rPr>
        <w:t>（二）未获得导师的学年考核推荐者；</w:t>
      </w:r>
    </w:p>
    <w:p w:rsidR="009866BB">
      <w:pPr>
        <w:ind w:firstLine="640" w:firstLineChars="200"/>
        <w:jc w:val="both"/>
        <w:rPr>
          <w:rFonts w:cs="Times New Roman"/>
          <w:szCs w:val="32"/>
        </w:rPr>
      </w:pPr>
      <w:r>
        <w:rPr>
          <w:rFonts w:cs="Times New Roman"/>
          <w:szCs w:val="32"/>
        </w:rPr>
        <w:t>（三）未通过研究生培养单位组织的学年考核者；</w:t>
      </w:r>
    </w:p>
    <w:p w:rsidR="009866BB">
      <w:pPr>
        <w:ind w:firstLine="640" w:firstLineChars="200"/>
        <w:jc w:val="both"/>
        <w:rPr>
          <w:rFonts w:cs="Times New Roman"/>
          <w:szCs w:val="32"/>
        </w:rPr>
      </w:pPr>
      <w:r>
        <w:rPr>
          <w:rFonts w:cs="Times New Roman"/>
          <w:szCs w:val="32"/>
        </w:rPr>
        <w:t>（四）必修课成绩不合格，选修课成绩不及格者（不含重考、补考、重修）</w:t>
      </w:r>
      <w:r>
        <w:rPr>
          <w:rFonts w:cs="Times New Roman" w:hint="eastAsia"/>
          <w:szCs w:val="32"/>
        </w:rPr>
        <w:t>。</w:t>
      </w:r>
      <w:r>
        <w:rPr>
          <w:rFonts w:cs="Times New Roman"/>
          <w:szCs w:val="32"/>
        </w:rPr>
        <w:t xml:space="preserve"> </w:t>
      </w:r>
    </w:p>
    <w:p w:rsidR="009866BB">
      <w:pPr>
        <w:ind w:firstLine="640" w:firstLineChars="200"/>
        <w:jc w:val="both"/>
        <w:rPr>
          <w:rFonts w:cs="Times New Roman"/>
          <w:kern w:val="0"/>
          <w:szCs w:val="32"/>
        </w:rPr>
      </w:pPr>
      <w:r>
        <w:rPr>
          <w:rFonts w:cs="Times New Roman" w:hint="eastAsia"/>
          <w:kern w:val="0"/>
          <w:szCs w:val="32"/>
        </w:rPr>
        <w:t>导师或研究生培养单位组织的学年考核小组须对该生是否</w:t>
      </w:r>
      <w:r>
        <w:rPr>
          <w:rFonts w:cs="Times New Roman" w:hint="eastAsia"/>
          <w:kern w:val="0"/>
          <w:szCs w:val="32"/>
        </w:rPr>
        <w:t>转为普通直博生或普通硕博连读生培养，或转为普通硕士研究生培养给出明确意见。</w:t>
      </w:r>
    </w:p>
    <w:p w:rsidR="009866BB" w:rsidP="00CC39A1">
      <w:pPr>
        <w:ind w:firstLine="640" w:firstLineChars="200"/>
        <w:jc w:val="both"/>
        <w:rPr>
          <w:rFonts w:cs="Times New Roman"/>
          <w:b/>
          <w:szCs w:val="32"/>
        </w:rPr>
      </w:pPr>
      <w:r>
        <w:rPr>
          <w:rFonts w:cs="Times New Roman"/>
          <w:b/>
          <w:szCs w:val="32"/>
        </w:rPr>
        <w:t>第二十六条</w:t>
      </w:r>
      <w:r>
        <w:rPr>
          <w:rFonts w:cs="Times New Roman"/>
          <w:b/>
          <w:szCs w:val="32"/>
        </w:rPr>
        <w:t xml:space="preserve"> </w:t>
      </w:r>
      <w:r w:rsidR="00CC39A1">
        <w:rPr>
          <w:rFonts w:cs="Times New Roman" w:hint="eastAsia"/>
          <w:b/>
          <w:szCs w:val="32"/>
        </w:rPr>
        <w:t xml:space="preserve"> </w:t>
      </w:r>
      <w:r>
        <w:rPr>
          <w:rFonts w:cs="Times New Roman" w:hint="eastAsia"/>
          <w:bCs/>
          <w:szCs w:val="32"/>
        </w:rPr>
        <w:t>对于指导教师调离我校或由于其他原因不再具备我校研究生导师任职资格的</w:t>
      </w:r>
      <w:r>
        <w:rPr>
          <w:rFonts w:cs="Times New Roman"/>
          <w:bCs/>
          <w:szCs w:val="32"/>
        </w:rPr>
        <w:t xml:space="preserve"> “</w:t>
      </w:r>
      <w:r>
        <w:rPr>
          <w:rFonts w:cs="Times New Roman" w:hint="eastAsia"/>
          <w:bCs/>
          <w:szCs w:val="32"/>
        </w:rPr>
        <w:t>优生优培</w:t>
      </w:r>
      <w:r>
        <w:rPr>
          <w:rFonts w:cs="Times New Roman"/>
          <w:bCs/>
          <w:szCs w:val="32"/>
        </w:rPr>
        <w:t>”</w:t>
      </w:r>
      <w:r>
        <w:rPr>
          <w:rFonts w:cs="Times New Roman" w:hint="eastAsia"/>
          <w:bCs/>
          <w:szCs w:val="32"/>
        </w:rPr>
        <w:t>资助计划研究生，在原导师离岗前，培养单位应为其转换或增加同学科专业研究生指导教师（增加的导师为研究生培养第一责任人），并解决导师配套经费，可继续予以资助。</w:t>
      </w:r>
    </w:p>
    <w:p w:rsidR="009866BB" w:rsidP="00CC39A1">
      <w:pPr>
        <w:ind w:firstLine="640" w:firstLineChars="200"/>
        <w:jc w:val="both"/>
        <w:rPr>
          <w:rFonts w:cs="Times New Roman"/>
          <w:kern w:val="0"/>
          <w:szCs w:val="32"/>
        </w:rPr>
      </w:pPr>
      <w:r>
        <w:rPr>
          <w:rFonts w:cs="Times New Roman"/>
          <w:b/>
          <w:szCs w:val="32"/>
        </w:rPr>
        <w:t>第二十七条</w:t>
      </w:r>
      <w:r>
        <w:rPr>
          <w:rFonts w:cs="Times New Roman"/>
          <w:b/>
          <w:szCs w:val="32"/>
        </w:rPr>
        <w:t xml:space="preserve">  </w:t>
      </w:r>
      <w:r>
        <w:rPr>
          <w:rFonts w:cs="Times New Roman"/>
          <w:kern w:val="0"/>
          <w:szCs w:val="32"/>
          <w:lang w:val="zh-CN"/>
        </w:rPr>
        <w:t>研究生院复核各研究生培养单位学期考查、学年考核结果</w:t>
      </w:r>
      <w:r>
        <w:rPr>
          <w:rFonts w:cs="Times New Roman" w:hint="eastAsia"/>
          <w:kern w:val="0"/>
          <w:szCs w:val="32"/>
          <w:lang w:val="zh-CN"/>
        </w:rPr>
        <w:t>，</w:t>
      </w:r>
      <w:r>
        <w:rPr>
          <w:rFonts w:cs="Times New Roman"/>
          <w:kern w:val="0"/>
          <w:szCs w:val="32"/>
          <w:lang w:val="zh-CN"/>
        </w:rPr>
        <w:t>并在全校范围内进行公示，公示时间不少于</w:t>
      </w:r>
      <w:r>
        <w:rPr>
          <w:rFonts w:cs="Times New Roman"/>
          <w:kern w:val="0"/>
          <w:szCs w:val="32"/>
        </w:rPr>
        <w:t>3</w:t>
      </w:r>
      <w:r>
        <w:rPr>
          <w:rFonts w:cs="Times New Roman"/>
          <w:kern w:val="0"/>
          <w:szCs w:val="32"/>
        </w:rPr>
        <w:t>个工作日。经公示无异议后，报中山大学研究生奖助金评审领导小组备案，并</w:t>
      </w:r>
      <w:r>
        <w:rPr>
          <w:rFonts w:cs="Times New Roman"/>
          <w:kern w:val="0"/>
          <w:szCs w:val="32"/>
          <w:lang w:val="zh-CN"/>
        </w:rPr>
        <w:t>正式发文公布继续获</w:t>
      </w:r>
      <w:r>
        <w:rPr>
          <w:rFonts w:cs="Times New Roman" w:hint="eastAsia"/>
          <w:szCs w:val="32"/>
        </w:rPr>
        <w:t>“</w:t>
      </w:r>
      <w:r>
        <w:rPr>
          <w:rFonts w:cs="Times New Roman"/>
          <w:szCs w:val="32"/>
        </w:rPr>
        <w:t>优生优培</w:t>
      </w:r>
      <w:r>
        <w:rPr>
          <w:rFonts w:cs="Times New Roman" w:hint="eastAsia"/>
          <w:szCs w:val="32"/>
        </w:rPr>
        <w:t>”</w:t>
      </w:r>
      <w:r>
        <w:rPr>
          <w:rFonts w:cs="Times New Roman"/>
          <w:kern w:val="0"/>
          <w:szCs w:val="32"/>
          <w:lang w:val="zh-CN"/>
        </w:rPr>
        <w:t>资助计划奖助名单。</w:t>
      </w:r>
    </w:p>
    <w:p w:rsidR="009866BB">
      <w:pPr>
        <w:autoSpaceDE w:val="0"/>
        <w:autoSpaceDN w:val="0"/>
        <w:ind w:firstLine="600"/>
        <w:jc w:val="both"/>
        <w:rPr>
          <w:rFonts w:cs="Times New Roman"/>
          <w:kern w:val="0"/>
          <w:szCs w:val="32"/>
          <w:lang w:val="zh-CN"/>
        </w:rPr>
      </w:pPr>
      <w:r>
        <w:rPr>
          <w:rFonts w:cs="Times New Roman"/>
          <w:b/>
          <w:szCs w:val="32"/>
        </w:rPr>
        <w:t>第二十八条</w:t>
      </w:r>
      <w:r w:rsidR="00CC39A1">
        <w:rPr>
          <w:rFonts w:cs="Times New Roman" w:hint="eastAsia"/>
          <w:b/>
          <w:szCs w:val="32"/>
        </w:rPr>
        <w:t xml:space="preserve"> </w:t>
      </w:r>
      <w:r>
        <w:rPr>
          <w:rFonts w:cs="Times New Roman"/>
          <w:b/>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w:t>
      </w:r>
      <w:r>
        <w:rPr>
          <w:rFonts w:cs="Times New Roman"/>
          <w:kern w:val="0"/>
          <w:szCs w:val="32"/>
          <w:lang w:val="zh-CN"/>
        </w:rPr>
        <w:t>研究生如对各</w:t>
      </w:r>
      <w:r>
        <w:rPr>
          <w:rFonts w:cs="Times New Roman"/>
          <w:szCs w:val="32"/>
        </w:rPr>
        <w:t>研究生培养单位</w:t>
      </w:r>
      <w:r>
        <w:rPr>
          <w:rFonts w:cs="Times New Roman"/>
          <w:kern w:val="0"/>
          <w:szCs w:val="32"/>
          <w:lang w:val="zh-CN"/>
        </w:rPr>
        <w:t>的学期考查、学年考核结果有异议，可在本</w:t>
      </w:r>
      <w:r>
        <w:rPr>
          <w:rFonts w:cs="Times New Roman"/>
          <w:szCs w:val="32"/>
        </w:rPr>
        <w:t>单位</w:t>
      </w:r>
      <w:r>
        <w:rPr>
          <w:rFonts w:cs="Times New Roman"/>
          <w:kern w:val="0"/>
          <w:szCs w:val="32"/>
          <w:lang w:val="zh-CN"/>
        </w:rPr>
        <w:t>公示阶段向本单位研究生奖助金评审委员会提出申诉。评审委员会应及时审议并予以答复。对学校公示的评审结果有异议者，可在学校公示阶段向研究生院提出申诉，由研究生院报学校研究生奖助金评审领导小组审定后予以答复。</w:t>
      </w:r>
    </w:p>
    <w:p w:rsidR="009866BB">
      <w:pPr>
        <w:tabs>
          <w:tab w:val="left" w:pos="1956"/>
        </w:tabs>
        <w:ind w:firstLine="640" w:firstLineChars="200"/>
        <w:rPr>
          <w:rFonts w:cs="Times New Roman"/>
          <w:szCs w:val="32"/>
        </w:rPr>
      </w:pPr>
      <w:r>
        <w:rPr>
          <w:rFonts w:cs="Times New Roman"/>
          <w:szCs w:val="32"/>
        </w:rPr>
        <w:tab/>
      </w:r>
    </w:p>
    <w:p w:rsidR="009866BB">
      <w:pPr>
        <w:jc w:val="center"/>
        <w:rPr>
          <w:rFonts w:eastAsia="黑体" w:cs="Times New Roman"/>
          <w:color w:val="000000"/>
          <w:szCs w:val="32"/>
        </w:rPr>
      </w:pPr>
      <w:r>
        <w:rPr>
          <w:rFonts w:eastAsia="黑体" w:cs="Times New Roman" w:hint="eastAsia"/>
          <w:color w:val="000000"/>
          <w:szCs w:val="32"/>
        </w:rPr>
        <w:t>第六章</w:t>
      </w:r>
      <w:r>
        <w:rPr>
          <w:rFonts w:eastAsia="黑体" w:cs="Times New Roman" w:hint="eastAsia"/>
          <w:color w:val="000000"/>
          <w:szCs w:val="32"/>
        </w:rPr>
        <w:t xml:space="preserve">  </w:t>
      </w:r>
      <w:r>
        <w:rPr>
          <w:rFonts w:eastAsia="黑体" w:cs="Times New Roman"/>
          <w:color w:val="000000"/>
          <w:szCs w:val="32"/>
        </w:rPr>
        <w:t>其他相关管理规定</w:t>
      </w:r>
    </w:p>
    <w:p w:rsidR="009866BB" w:rsidP="00CC39A1">
      <w:pPr>
        <w:ind w:firstLine="640" w:firstLineChars="200"/>
        <w:jc w:val="both"/>
        <w:rPr>
          <w:rFonts w:cs="Times New Roman"/>
          <w:color w:val="FF0000"/>
          <w:szCs w:val="32"/>
        </w:rPr>
      </w:pPr>
      <w:r>
        <w:rPr>
          <w:rFonts w:cs="Times New Roman"/>
          <w:b/>
          <w:szCs w:val="32"/>
        </w:rPr>
        <w:t>第二十九条</w:t>
      </w:r>
      <w:r>
        <w:rPr>
          <w:rFonts w:cs="Times New Roman"/>
          <w:szCs w:val="32"/>
        </w:rPr>
        <w:t xml:space="preserve">  </w:t>
      </w:r>
      <w:r>
        <w:rPr>
          <w:rFonts w:cs="Times New Roman"/>
          <w:szCs w:val="32"/>
        </w:rPr>
        <w:t>因出现本办法第二十五条情况转为普通直博生</w:t>
      </w:r>
      <w:r>
        <w:rPr>
          <w:rFonts w:cs="Times New Roman" w:hint="eastAsia"/>
          <w:szCs w:val="32"/>
        </w:rPr>
        <w:t>、</w:t>
      </w:r>
      <w:r>
        <w:rPr>
          <w:rFonts w:cs="Times New Roman"/>
          <w:szCs w:val="32"/>
        </w:rPr>
        <w:t>普通硕博连读生或普通硕士研究生培养的</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资助计划研究生，其</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资助计划研究生奖助金资格自当学期起终止，按相应的三等奖助金标准资助</w:t>
      </w:r>
      <w:r>
        <w:rPr>
          <w:rFonts w:cs="Times New Roman" w:hint="eastAsia"/>
          <w:szCs w:val="32"/>
        </w:rPr>
        <w:t>，</w:t>
      </w:r>
      <w:r>
        <w:rPr>
          <w:rFonts w:cs="Times New Roman"/>
          <w:szCs w:val="32"/>
        </w:rPr>
        <w:t>次学年须参加研究生</w:t>
      </w:r>
      <w:r>
        <w:rPr>
          <w:rFonts w:cs="Times New Roman"/>
          <w:szCs w:val="32"/>
        </w:rPr>
        <w:t>奖助金动态评审。</w:t>
      </w:r>
    </w:p>
    <w:p w:rsidR="009866BB" w:rsidP="00CC39A1">
      <w:pPr>
        <w:ind w:firstLine="640" w:firstLineChars="200"/>
        <w:jc w:val="both"/>
        <w:rPr>
          <w:rFonts w:cs="Times New Roman"/>
          <w:szCs w:val="32"/>
        </w:rPr>
      </w:pPr>
      <w:r>
        <w:rPr>
          <w:rFonts w:cs="Times New Roman"/>
          <w:b/>
          <w:szCs w:val="32"/>
        </w:rPr>
        <w:t>第三十条</w:t>
      </w:r>
      <w:r>
        <w:rPr>
          <w:rFonts w:cs="Times New Roman"/>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资助计划研究生在学期间，须按导师的要求完成研究助理工作，并根据学校相关制度承担教学助理工作，否则其导师可根据《中山大学研究生奖助规定实施细则》有关规定，经</w:t>
      </w:r>
      <w:r>
        <w:rPr>
          <w:rFonts w:cs="Times New Roman"/>
          <w:kern w:val="0"/>
          <w:szCs w:val="32"/>
        </w:rPr>
        <w:t>研究生培养单位核准，向研究生院申请</w:t>
      </w:r>
      <w:r>
        <w:rPr>
          <w:rFonts w:cs="Times New Roman"/>
          <w:kern w:val="0"/>
          <w:szCs w:val="32"/>
          <w:lang w:val="zh-CN"/>
        </w:rPr>
        <w:t>减少或终止发放该生研究生学业助学金中的</w:t>
      </w:r>
      <w:r>
        <w:rPr>
          <w:rFonts w:cs="Times New Roman"/>
          <w:szCs w:val="32"/>
        </w:rPr>
        <w:t>学校投入和研究生导师配套投入</w:t>
      </w:r>
      <w:r>
        <w:rPr>
          <w:rFonts w:cs="Times New Roman"/>
          <w:kern w:val="0"/>
          <w:szCs w:val="32"/>
          <w:lang w:val="zh-CN"/>
        </w:rPr>
        <w:t>。</w:t>
      </w:r>
    </w:p>
    <w:p w:rsidR="009866BB" w:rsidP="00CC39A1">
      <w:pPr>
        <w:ind w:firstLine="640" w:firstLineChars="200"/>
        <w:jc w:val="both"/>
        <w:rPr>
          <w:rFonts w:cs="Times New Roman"/>
          <w:szCs w:val="32"/>
        </w:rPr>
      </w:pPr>
      <w:r>
        <w:rPr>
          <w:rFonts w:cs="Times New Roman"/>
          <w:b/>
          <w:szCs w:val="32"/>
        </w:rPr>
        <w:t>第三十一条</w:t>
      </w:r>
      <w:r>
        <w:rPr>
          <w:rFonts w:cs="Times New Roman"/>
          <w:b/>
          <w:szCs w:val="32"/>
        </w:rPr>
        <w:t xml:space="preserve">  </w:t>
      </w:r>
      <w:r>
        <w:rPr>
          <w:rFonts w:cs="Times New Roman"/>
          <w:szCs w:val="32"/>
        </w:rPr>
        <w:t>招收和培养</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资助计划研究生的培养单位和导师，应高度重视对</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资助计划研究生的培养，尤其应加强个性化培养。学校研究生院将定期评估导师对</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资助计划研究生的培养质量，评估结果将作为下一年度确定</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资助计划招生导师名单的依据。</w:t>
      </w:r>
    </w:p>
    <w:p w:rsidR="009866BB" w:rsidP="00CC39A1">
      <w:pPr>
        <w:ind w:firstLine="640" w:firstLineChars="200"/>
        <w:jc w:val="both"/>
        <w:rPr>
          <w:rFonts w:cs="Times New Roman"/>
          <w:szCs w:val="32"/>
        </w:rPr>
      </w:pPr>
      <w:r>
        <w:rPr>
          <w:rFonts w:cs="Times New Roman"/>
          <w:b/>
          <w:szCs w:val="32"/>
        </w:rPr>
        <w:t>第三十二条</w:t>
      </w:r>
      <w:r>
        <w:rPr>
          <w:rFonts w:cs="Times New Roman"/>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资助计划研究生的导师配套投入经费实行一学年一划扣，划扣时间为每年</w:t>
      </w:r>
      <w:r>
        <w:rPr>
          <w:rFonts w:cs="Times New Roman"/>
          <w:szCs w:val="32"/>
        </w:rPr>
        <w:t>10</w:t>
      </w:r>
      <w:r>
        <w:rPr>
          <w:rFonts w:cs="Times New Roman"/>
          <w:szCs w:val="32"/>
        </w:rPr>
        <w:t>月，具体按《中山大学研究生奖助规定》执行。对于退出</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资助计划转为普通直博生或普通硕博连读生培养的研究生，导师按照普通博士生或硕博连读生的经费标准进行配套投入。对于已划扣但尚未发放的</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资助计划研究生导师配套投入经费，在抵扣了导师按普通博士生或硕博连读生的配套投入经费标准所应支付的配套投入经费后，剩余经费将退还导师。对于退出</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资助计划转为普通硕士研究生培养的，导师不需配套投入，已划扣但尚未发放的</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资助计划研究生的导师配套投入经费，经研究生院核准后全额退还导师。</w:t>
      </w:r>
    </w:p>
    <w:p w:rsidR="009866BB" w:rsidP="00CC39A1">
      <w:pPr>
        <w:ind w:firstLine="640" w:firstLineChars="200"/>
        <w:jc w:val="both"/>
        <w:rPr>
          <w:rFonts w:cs="Times New Roman"/>
          <w:szCs w:val="32"/>
        </w:rPr>
      </w:pPr>
      <w:r>
        <w:rPr>
          <w:rFonts w:cs="Times New Roman"/>
          <w:b/>
          <w:szCs w:val="32"/>
        </w:rPr>
        <w:t>第三十三条</w:t>
      </w:r>
      <w:r>
        <w:rPr>
          <w:rFonts w:cs="Times New Roman"/>
          <w:szCs w:val="32"/>
        </w:rPr>
        <w:t xml:space="preserve">  </w:t>
      </w:r>
      <w:r>
        <w:rPr>
          <w:rFonts w:cs="Times New Roman"/>
          <w:szCs w:val="32"/>
        </w:rPr>
        <w:t>各研究生培养单位应为每位</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w:t>
      </w:r>
      <w:r>
        <w:rPr>
          <w:rFonts w:cs="Times New Roman"/>
          <w:szCs w:val="32"/>
        </w:rPr>
        <w:t>计划研究生建立培养档案，将其培养计划、学期考查、学年考核等材料及时归档。</w:t>
      </w:r>
    </w:p>
    <w:p w:rsidR="009866BB" w:rsidP="00CC39A1">
      <w:pPr>
        <w:ind w:firstLine="640" w:firstLineChars="200"/>
        <w:jc w:val="both"/>
        <w:rPr>
          <w:rFonts w:cs="Times New Roman"/>
          <w:szCs w:val="32"/>
        </w:rPr>
      </w:pPr>
      <w:r>
        <w:rPr>
          <w:rFonts w:cs="Times New Roman"/>
          <w:b/>
          <w:szCs w:val="32"/>
        </w:rPr>
        <w:t>第三十四条</w:t>
      </w:r>
      <w:r>
        <w:rPr>
          <w:rFonts w:cs="Times New Roman"/>
          <w:szCs w:val="32"/>
        </w:rPr>
        <w:t xml:space="preserve"> </w:t>
      </w:r>
      <w:r w:rsidR="00CC39A1">
        <w:rPr>
          <w:rFonts w:cs="Times New Roman" w:hint="eastAsia"/>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资助计划研究生在基本修业年限内由于出国、疾病等原因办理保留学籍或休学等手续的，按照《中山大学研究生奖助规定实施细则》的相关规定，暂停发放研究生奖助金。</w:t>
      </w:r>
    </w:p>
    <w:p w:rsidR="009866BB" w:rsidP="00CC39A1">
      <w:pPr>
        <w:ind w:firstLine="640" w:firstLineChars="200"/>
        <w:jc w:val="both"/>
        <w:rPr>
          <w:rFonts w:cs="Times New Roman"/>
          <w:szCs w:val="32"/>
        </w:rPr>
      </w:pPr>
      <w:r>
        <w:rPr>
          <w:rFonts w:cs="Times New Roman"/>
          <w:b/>
          <w:szCs w:val="32"/>
        </w:rPr>
        <w:t>第三十五条</w:t>
      </w:r>
      <w:r>
        <w:rPr>
          <w:rFonts w:cs="Times New Roman"/>
          <w:b/>
          <w:szCs w:val="32"/>
        </w:rPr>
        <w:t xml:space="preserve"> </w:t>
      </w:r>
      <w:r w:rsidR="00CC39A1">
        <w:rPr>
          <w:rFonts w:cs="Times New Roman" w:hint="eastAsia"/>
          <w:b/>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资助计划研究生若申请转导师、转专业，获批准后应退出本资助计划，不再享受本计划资助。</w:t>
      </w:r>
    </w:p>
    <w:p w:rsidR="009866BB" w:rsidP="00CC39A1">
      <w:pPr>
        <w:ind w:firstLine="640" w:firstLineChars="200"/>
        <w:jc w:val="both"/>
        <w:rPr>
          <w:rFonts w:cs="Times New Roman"/>
          <w:szCs w:val="32"/>
        </w:rPr>
      </w:pPr>
      <w:r>
        <w:rPr>
          <w:rFonts w:cs="Times New Roman"/>
          <w:b/>
          <w:szCs w:val="32"/>
        </w:rPr>
        <w:t>第三十六条</w:t>
      </w:r>
      <w:r>
        <w:rPr>
          <w:rFonts w:cs="Times New Roman"/>
          <w:szCs w:val="32"/>
        </w:rPr>
        <w:t xml:space="preserve">  </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研究生出现《中山大学研究生奖助规定实施细则》所规定的应予取消奖助金参评资格或终止发放奖助金情形的，将不再享受本计划资助。其后续奖助金待遇根据具体情况，参照《中山大学研究生奖助规定实施细则》等相关规定执行。</w:t>
      </w:r>
    </w:p>
    <w:p w:rsidR="009866BB">
      <w:pPr>
        <w:jc w:val="center"/>
        <w:rPr>
          <w:rFonts w:cs="Times New Roman"/>
          <w:color w:val="000000"/>
          <w:szCs w:val="32"/>
        </w:rPr>
      </w:pPr>
    </w:p>
    <w:p w:rsidR="009866BB">
      <w:pPr>
        <w:jc w:val="center"/>
        <w:rPr>
          <w:rFonts w:eastAsia="黑体" w:cs="Times New Roman"/>
          <w:color w:val="000000"/>
          <w:szCs w:val="32"/>
        </w:rPr>
      </w:pPr>
      <w:r>
        <w:rPr>
          <w:rFonts w:eastAsia="黑体" w:cs="Times New Roman"/>
          <w:color w:val="000000"/>
          <w:szCs w:val="32"/>
        </w:rPr>
        <w:t>第七章</w:t>
      </w:r>
      <w:r>
        <w:rPr>
          <w:rFonts w:eastAsia="黑体" w:cs="Times New Roman"/>
          <w:color w:val="000000"/>
          <w:szCs w:val="32"/>
        </w:rPr>
        <w:t xml:space="preserve">  </w:t>
      </w:r>
      <w:r>
        <w:rPr>
          <w:rFonts w:eastAsia="黑体" w:cs="Times New Roman"/>
          <w:color w:val="000000"/>
          <w:szCs w:val="32"/>
        </w:rPr>
        <w:t>监督检查与责任追究</w:t>
      </w:r>
    </w:p>
    <w:p w:rsidR="009866BB">
      <w:pPr>
        <w:autoSpaceDE w:val="0"/>
        <w:autoSpaceDN w:val="0"/>
        <w:ind w:firstLine="600"/>
        <w:jc w:val="both"/>
        <w:rPr>
          <w:rFonts w:cs="Times New Roman"/>
          <w:kern w:val="0"/>
          <w:szCs w:val="32"/>
          <w:lang w:val="zh-CN"/>
        </w:rPr>
      </w:pPr>
      <w:r>
        <w:rPr>
          <w:rFonts w:cs="Times New Roman"/>
          <w:b/>
          <w:kern w:val="0"/>
          <w:szCs w:val="32"/>
          <w:lang w:val="zh-CN"/>
        </w:rPr>
        <w:t>第三十七条</w:t>
      </w:r>
      <w:r>
        <w:rPr>
          <w:rFonts w:cs="Times New Roman"/>
          <w:kern w:val="0"/>
          <w:szCs w:val="32"/>
          <w:lang w:val="zh-CN"/>
        </w:rPr>
        <w:t xml:space="preserve">  </w:t>
      </w:r>
      <w:r>
        <w:rPr>
          <w:rFonts w:cs="Times New Roman"/>
          <w:kern w:val="0"/>
          <w:szCs w:val="32"/>
          <w:lang w:val="zh-CN"/>
        </w:rPr>
        <w:t>选拔、考核和管理工作中涉及到的有关单位和人员应当客观、负责地提供、核对真实情况和数据。</w:t>
      </w:r>
    </w:p>
    <w:p w:rsidR="009866BB">
      <w:pPr>
        <w:autoSpaceDE w:val="0"/>
        <w:autoSpaceDN w:val="0"/>
        <w:ind w:firstLine="600"/>
        <w:jc w:val="both"/>
        <w:rPr>
          <w:rFonts w:cs="Times New Roman"/>
          <w:kern w:val="0"/>
          <w:szCs w:val="32"/>
          <w:lang w:val="zh-CN"/>
        </w:rPr>
      </w:pPr>
      <w:r>
        <w:rPr>
          <w:rFonts w:cs="Times New Roman"/>
          <w:b/>
          <w:kern w:val="0"/>
          <w:szCs w:val="32"/>
          <w:lang w:val="zh-CN"/>
        </w:rPr>
        <w:t>第三十八条</w:t>
      </w:r>
      <w:r>
        <w:rPr>
          <w:rFonts w:cs="Times New Roman"/>
          <w:kern w:val="0"/>
          <w:szCs w:val="32"/>
          <w:lang w:val="zh-CN"/>
        </w:rPr>
        <w:t xml:space="preserve">  </w:t>
      </w:r>
      <w:r>
        <w:rPr>
          <w:rFonts w:cs="Times New Roman"/>
          <w:kern w:val="0"/>
          <w:szCs w:val="32"/>
          <w:lang w:val="zh-CN"/>
        </w:rPr>
        <w:t>选拔、考核和管理工作中有关单位和人员应当遵守工作纪律：不准干扰或妨碍选拔考核工作；不准泄露选拔考核工作机密；严格执行回避制度。造成严重不良影响和学校损失的，依法依规追究有关人员责任；构成违纪的，给予纪律处分。</w:t>
      </w:r>
      <w:r>
        <w:rPr>
          <w:rFonts w:cs="Times New Roman"/>
          <w:kern w:val="0"/>
          <w:szCs w:val="32"/>
          <w:lang w:val="zh-CN"/>
        </w:rPr>
        <w:t xml:space="preserve"> </w:t>
      </w:r>
    </w:p>
    <w:p w:rsidR="009866BB">
      <w:pPr>
        <w:autoSpaceDE w:val="0"/>
        <w:autoSpaceDN w:val="0"/>
        <w:ind w:firstLine="600"/>
        <w:jc w:val="both"/>
        <w:rPr>
          <w:rFonts w:cs="Times New Roman"/>
          <w:kern w:val="0"/>
          <w:szCs w:val="32"/>
          <w:lang w:val="zh-CN"/>
        </w:rPr>
      </w:pPr>
      <w:r>
        <w:rPr>
          <w:rFonts w:cs="Times New Roman"/>
          <w:b/>
          <w:kern w:val="0"/>
          <w:szCs w:val="32"/>
          <w:lang w:val="zh-CN"/>
        </w:rPr>
        <w:t>第三十九条</w:t>
      </w:r>
      <w:r>
        <w:rPr>
          <w:rFonts w:cs="Times New Roman"/>
          <w:kern w:val="0"/>
          <w:szCs w:val="32"/>
          <w:lang w:val="zh-CN"/>
        </w:rPr>
        <w:t xml:space="preserve">  </w:t>
      </w:r>
      <w:r>
        <w:rPr>
          <w:rFonts w:cs="Times New Roman"/>
          <w:kern w:val="0"/>
          <w:szCs w:val="32"/>
          <w:lang w:val="zh-CN"/>
        </w:rPr>
        <w:t>加强选拔、考核工作监督。有关单位和人员应当坚持公道正派、实事求是的原则，认真受理各单位和师生员工</w:t>
      </w:r>
      <w:r>
        <w:rPr>
          <w:rFonts w:cs="Times New Roman"/>
          <w:kern w:val="0"/>
          <w:szCs w:val="32"/>
          <w:lang w:val="zh-CN"/>
        </w:rPr>
        <w:t>的异议，按照职责及时核查和处理相关异议。</w:t>
      </w:r>
    </w:p>
    <w:p w:rsidR="009866BB">
      <w:pPr>
        <w:ind w:firstLine="640" w:firstLineChars="200"/>
        <w:rPr>
          <w:rFonts w:cs="Times New Roman"/>
          <w:szCs w:val="32"/>
        </w:rPr>
      </w:pPr>
    </w:p>
    <w:p w:rsidR="009866BB">
      <w:pPr>
        <w:jc w:val="center"/>
        <w:rPr>
          <w:rFonts w:eastAsia="黑体" w:cs="Times New Roman"/>
          <w:color w:val="000000"/>
          <w:szCs w:val="32"/>
        </w:rPr>
      </w:pPr>
      <w:r>
        <w:rPr>
          <w:rFonts w:eastAsia="黑体" w:cs="Times New Roman"/>
          <w:color w:val="000000"/>
          <w:szCs w:val="32"/>
        </w:rPr>
        <w:t>第八章</w:t>
      </w:r>
      <w:r>
        <w:rPr>
          <w:rFonts w:eastAsia="黑体" w:cs="Times New Roman"/>
          <w:color w:val="000000"/>
          <w:szCs w:val="32"/>
        </w:rPr>
        <w:t xml:space="preserve">  </w:t>
      </w:r>
      <w:r>
        <w:rPr>
          <w:rFonts w:eastAsia="黑体" w:cs="Times New Roman"/>
          <w:color w:val="000000"/>
          <w:szCs w:val="32"/>
        </w:rPr>
        <w:t>附则</w:t>
      </w:r>
    </w:p>
    <w:p w:rsidR="009866BB">
      <w:pPr>
        <w:ind w:firstLine="643"/>
        <w:jc w:val="both"/>
        <w:rPr>
          <w:rFonts w:cs="Times New Roman"/>
          <w:szCs w:val="32"/>
        </w:rPr>
      </w:pPr>
      <w:r>
        <w:rPr>
          <w:rFonts w:cs="Times New Roman"/>
          <w:b/>
          <w:szCs w:val="32"/>
        </w:rPr>
        <w:t>第四十条</w:t>
      </w:r>
      <w:r>
        <w:rPr>
          <w:rFonts w:cs="Times New Roman"/>
          <w:b/>
          <w:szCs w:val="32"/>
        </w:rPr>
        <w:t xml:space="preserve">  </w:t>
      </w:r>
      <w:r>
        <w:rPr>
          <w:rFonts w:cs="Times New Roman"/>
          <w:szCs w:val="32"/>
        </w:rPr>
        <w:t>本办法由中山大学研究生院负责解释。</w:t>
      </w:r>
    </w:p>
    <w:p w:rsidR="009866BB" w:rsidP="00CC39A1">
      <w:pPr>
        <w:ind w:firstLine="640" w:firstLineChars="200"/>
        <w:jc w:val="both"/>
        <w:rPr>
          <w:rFonts w:cs="Times New Roman"/>
          <w:szCs w:val="32"/>
        </w:rPr>
      </w:pPr>
      <w:r>
        <w:rPr>
          <w:rFonts w:cs="Times New Roman"/>
          <w:b/>
          <w:szCs w:val="32"/>
        </w:rPr>
        <w:t>第四十一条</w:t>
      </w:r>
      <w:r>
        <w:rPr>
          <w:rFonts w:cs="Times New Roman"/>
          <w:b/>
          <w:szCs w:val="32"/>
        </w:rPr>
        <w:t xml:space="preserve">  </w:t>
      </w:r>
      <w:r>
        <w:rPr>
          <w:rFonts w:cs="Times New Roman"/>
          <w:szCs w:val="32"/>
        </w:rPr>
        <w:t>本办法经</w:t>
      </w:r>
      <w:r>
        <w:rPr>
          <w:rFonts w:cs="Times New Roman"/>
          <w:szCs w:val="32"/>
        </w:rPr>
        <w:t>2019</w:t>
      </w:r>
      <w:r>
        <w:rPr>
          <w:rFonts w:cs="Times New Roman"/>
          <w:szCs w:val="32"/>
        </w:rPr>
        <w:t>年第</w:t>
      </w:r>
      <w:r>
        <w:rPr>
          <w:rFonts w:cs="Times New Roman"/>
          <w:szCs w:val="32"/>
        </w:rPr>
        <w:t>3</w:t>
      </w:r>
      <w:r>
        <w:rPr>
          <w:rFonts w:cs="Times New Roman"/>
          <w:szCs w:val="32"/>
        </w:rPr>
        <w:t>次学校党委常委会审议通过，自发布之日起施行。原《中山大学博士研究生</w:t>
      </w:r>
      <w:r>
        <w:rPr>
          <w:rFonts w:cs="Times New Roman" w:hint="eastAsia"/>
          <w:szCs w:val="32"/>
        </w:rPr>
        <w:t>“</w:t>
      </w:r>
      <w:r>
        <w:rPr>
          <w:rFonts w:cs="Times New Roman"/>
          <w:szCs w:val="32"/>
        </w:rPr>
        <w:t>优生优培</w:t>
      </w:r>
      <w:r>
        <w:rPr>
          <w:rFonts w:cs="Times New Roman" w:hint="eastAsia"/>
          <w:szCs w:val="32"/>
        </w:rPr>
        <w:t>”</w:t>
      </w:r>
      <w:r>
        <w:rPr>
          <w:rFonts w:cs="Times New Roman"/>
          <w:szCs w:val="32"/>
        </w:rPr>
        <w:t>资助计划实施办法》（中大研院〔</w:t>
      </w:r>
      <w:r>
        <w:rPr>
          <w:rFonts w:cs="Times New Roman"/>
          <w:szCs w:val="32"/>
        </w:rPr>
        <w:t>2015</w:t>
      </w:r>
      <w:r>
        <w:rPr>
          <w:rFonts w:cs="Times New Roman"/>
          <w:szCs w:val="32"/>
        </w:rPr>
        <w:t>〕</w:t>
      </w:r>
      <w:r>
        <w:rPr>
          <w:rFonts w:cs="Times New Roman"/>
          <w:szCs w:val="32"/>
        </w:rPr>
        <w:t>3</w:t>
      </w:r>
      <w:r>
        <w:rPr>
          <w:rFonts w:cs="Times New Roman"/>
          <w:szCs w:val="32"/>
        </w:rPr>
        <w:t>号）同时废止。</w:t>
      </w:r>
    </w:p>
    <w:p w:rsidR="009866BB">
      <w:pPr>
        <w:rPr>
          <w:rFonts w:cs="Times New Roman"/>
          <w:szCs w:val="32"/>
        </w:rPr>
      </w:pPr>
    </w:p>
    <w:p w:rsidR="009866BB">
      <w:pPr>
        <w:ind w:firstLine="640" w:firstLineChars="200"/>
        <w:rPr>
          <w:rFonts w:cs="Times New Roman"/>
          <w:szCs w:val="32"/>
        </w:rPr>
      </w:pPr>
      <w:r>
        <w:rPr>
          <w:rFonts w:cs="Times New Roman"/>
          <w:szCs w:val="32"/>
        </w:rPr>
        <w:t>附表</w:t>
      </w:r>
      <w:r>
        <w:rPr>
          <w:rFonts w:cs="Times New Roman" w:hint="eastAsia"/>
          <w:szCs w:val="32"/>
        </w:rPr>
        <w:t>：“</w:t>
      </w:r>
      <w:r>
        <w:rPr>
          <w:rFonts w:cs="Times New Roman"/>
          <w:szCs w:val="32"/>
        </w:rPr>
        <w:t>优生优培</w:t>
      </w:r>
      <w:r>
        <w:rPr>
          <w:rFonts w:cs="Times New Roman" w:hint="eastAsia"/>
          <w:szCs w:val="32"/>
        </w:rPr>
        <w:t>”</w:t>
      </w:r>
      <w:r>
        <w:rPr>
          <w:rFonts w:eastAsia="仿宋" w:cs="Times New Roman"/>
          <w:szCs w:val="32"/>
        </w:rPr>
        <w:t>资助计划研究生获资助额度</w:t>
      </w:r>
      <w:r>
        <w:rPr>
          <w:rFonts w:cs="Times New Roman"/>
          <w:szCs w:val="32"/>
        </w:rPr>
        <w:t>及构成</w:t>
      </w:r>
    </w:p>
    <w:p w:rsidR="009866BB">
      <w:pPr>
        <w:widowControl/>
        <w:rPr>
          <w:rFonts w:eastAsia="仿宋" w:cs="Times New Roman"/>
          <w:szCs w:val="32"/>
        </w:rPr>
      </w:pPr>
      <w:r>
        <w:rPr>
          <w:rFonts w:eastAsia="仿宋" w:cs="Times New Roman"/>
          <w:szCs w:val="32"/>
        </w:rPr>
        <w:br w:type="page"/>
      </w:r>
    </w:p>
    <w:p w:rsidR="009866BB">
      <w:pPr>
        <w:rPr>
          <w:rFonts w:ascii="黑体" w:eastAsia="黑体" w:hAnsi="黑体" w:cs="Times New Roman"/>
          <w:szCs w:val="32"/>
        </w:rPr>
      </w:pPr>
      <w:r>
        <w:rPr>
          <w:rFonts w:ascii="黑体" w:eastAsia="黑体" w:hAnsi="黑体" w:cs="Times New Roman"/>
          <w:szCs w:val="32"/>
        </w:rPr>
        <w:t>附表</w:t>
      </w:r>
    </w:p>
    <w:p w:rsidR="009866BB">
      <w:pPr>
        <w:rPr>
          <w:rFonts w:ascii="黑体" w:eastAsia="黑体" w:hAnsi="黑体" w:cs="Times New Roman"/>
          <w:szCs w:val="32"/>
        </w:rPr>
      </w:pPr>
    </w:p>
    <w:p w:rsidR="009866BB">
      <w:pPr>
        <w:jc w:val="center"/>
        <w:rPr>
          <w:rFonts w:ascii="方正小标宋简体" w:eastAsia="方正小标宋简体" w:cs="Times New Roman"/>
          <w:sz w:val="44"/>
          <w:szCs w:val="32"/>
        </w:rPr>
      </w:pPr>
      <w:r>
        <w:rPr>
          <w:rFonts w:ascii="方正小标宋简体" w:eastAsia="方正小标宋简体" w:cs="Times New Roman" w:hint="eastAsia"/>
          <w:sz w:val="44"/>
          <w:szCs w:val="32"/>
        </w:rPr>
        <w:t>“优生优培”资助计划研究生</w:t>
      </w:r>
      <w:r>
        <w:rPr>
          <w:rFonts w:ascii="方正小标宋简体" w:eastAsia="方正小标宋简体" w:cs="Times New Roman"/>
          <w:sz w:val="44"/>
          <w:szCs w:val="32"/>
        </w:rPr>
        <w:br/>
      </w:r>
      <w:r>
        <w:rPr>
          <w:rFonts w:ascii="方正小标宋简体" w:eastAsia="方正小标宋简体" w:cs="Times New Roman" w:hint="eastAsia"/>
          <w:sz w:val="44"/>
          <w:szCs w:val="32"/>
        </w:rPr>
        <w:t>获资助额度及构成</w:t>
      </w:r>
    </w:p>
    <w:p w:rsidR="009866BB">
      <w:pPr>
        <w:jc w:val="center"/>
        <w:rPr>
          <w:rFonts w:cs="Times New Roman"/>
          <w:sz w:val="24"/>
          <w:szCs w:val="24"/>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90"/>
        <w:gridCol w:w="2094"/>
        <w:gridCol w:w="1577"/>
        <w:gridCol w:w="2022"/>
        <w:gridCol w:w="1559"/>
      </w:tblGrid>
      <w:tr>
        <w:tblPrEx>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397"/>
          <w:jc w:val="center"/>
        </w:trPr>
        <w:tc>
          <w:tcPr>
            <w:tcW w:w="1390" w:type="dxa"/>
            <w:vMerge w:val="restart"/>
            <w:vAlign w:val="center"/>
          </w:tcPr>
          <w:p w:rsidR="009866BB">
            <w:pPr>
              <w:spacing w:line="240" w:lineRule="auto"/>
              <w:jc w:val="center"/>
              <w:rPr>
                <w:rFonts w:cs="Times New Roman"/>
                <w:b/>
                <w:sz w:val="24"/>
                <w:szCs w:val="24"/>
              </w:rPr>
            </w:pPr>
            <w:r>
              <w:rPr>
                <w:rFonts w:cs="Times New Roman"/>
                <w:b/>
                <w:sz w:val="24"/>
                <w:szCs w:val="24"/>
              </w:rPr>
              <w:t>学生层次</w:t>
            </w:r>
          </w:p>
        </w:tc>
        <w:tc>
          <w:tcPr>
            <w:tcW w:w="2094" w:type="dxa"/>
            <w:vMerge w:val="restart"/>
            <w:vAlign w:val="center"/>
          </w:tcPr>
          <w:p w:rsidR="009866BB">
            <w:pPr>
              <w:spacing w:line="240" w:lineRule="auto"/>
              <w:jc w:val="center"/>
              <w:rPr>
                <w:rFonts w:cs="Times New Roman"/>
                <w:b/>
                <w:sz w:val="24"/>
                <w:szCs w:val="24"/>
              </w:rPr>
            </w:pPr>
            <w:r>
              <w:rPr>
                <w:rFonts w:cs="Times New Roman"/>
                <w:b/>
                <w:sz w:val="24"/>
                <w:szCs w:val="24"/>
              </w:rPr>
              <w:t>学年</w:t>
            </w:r>
          </w:p>
        </w:tc>
        <w:tc>
          <w:tcPr>
            <w:tcW w:w="1577" w:type="dxa"/>
            <w:vMerge w:val="restart"/>
            <w:vAlign w:val="center"/>
          </w:tcPr>
          <w:p w:rsidR="009866BB">
            <w:pPr>
              <w:spacing w:line="240" w:lineRule="auto"/>
              <w:jc w:val="center"/>
              <w:rPr>
                <w:rFonts w:cs="Times New Roman"/>
                <w:b/>
                <w:sz w:val="24"/>
                <w:szCs w:val="24"/>
              </w:rPr>
            </w:pPr>
            <w:r>
              <w:rPr>
                <w:rFonts w:cs="Times New Roman"/>
                <w:b/>
                <w:sz w:val="24"/>
                <w:szCs w:val="24"/>
              </w:rPr>
              <w:t>学业</w:t>
            </w:r>
          </w:p>
          <w:p w:rsidR="009866BB">
            <w:pPr>
              <w:spacing w:line="240" w:lineRule="auto"/>
              <w:jc w:val="center"/>
              <w:rPr>
                <w:rFonts w:cs="Times New Roman"/>
                <w:b/>
                <w:sz w:val="24"/>
                <w:szCs w:val="24"/>
              </w:rPr>
            </w:pPr>
            <w:r>
              <w:rPr>
                <w:rFonts w:cs="Times New Roman"/>
                <w:b/>
                <w:sz w:val="24"/>
                <w:szCs w:val="24"/>
              </w:rPr>
              <w:t>奖学金</w:t>
            </w:r>
          </w:p>
        </w:tc>
        <w:tc>
          <w:tcPr>
            <w:tcW w:w="2022" w:type="dxa"/>
            <w:vMerge w:val="restart"/>
            <w:vAlign w:val="center"/>
          </w:tcPr>
          <w:p w:rsidR="009866BB">
            <w:pPr>
              <w:spacing w:line="240" w:lineRule="auto"/>
              <w:jc w:val="center"/>
              <w:rPr>
                <w:rFonts w:cs="Times New Roman"/>
                <w:b/>
                <w:sz w:val="24"/>
                <w:szCs w:val="24"/>
              </w:rPr>
            </w:pPr>
            <w:r>
              <w:rPr>
                <w:rFonts w:cs="Times New Roman"/>
                <w:b/>
                <w:sz w:val="24"/>
                <w:szCs w:val="24"/>
              </w:rPr>
              <w:t>学业</w:t>
            </w:r>
          </w:p>
          <w:p w:rsidR="009866BB">
            <w:pPr>
              <w:spacing w:line="240" w:lineRule="auto"/>
              <w:jc w:val="center"/>
              <w:rPr>
                <w:rFonts w:cs="Times New Roman"/>
                <w:sz w:val="24"/>
                <w:szCs w:val="24"/>
              </w:rPr>
            </w:pPr>
            <w:r>
              <w:rPr>
                <w:rFonts w:cs="Times New Roman"/>
                <w:b/>
                <w:sz w:val="24"/>
                <w:szCs w:val="24"/>
              </w:rPr>
              <w:t>助学金</w:t>
            </w:r>
          </w:p>
        </w:tc>
        <w:tc>
          <w:tcPr>
            <w:tcW w:w="1559" w:type="dxa"/>
            <w:vMerge w:val="restart"/>
            <w:vAlign w:val="center"/>
          </w:tcPr>
          <w:p w:rsidR="009866BB">
            <w:pPr>
              <w:spacing w:line="240" w:lineRule="auto"/>
              <w:jc w:val="center"/>
              <w:rPr>
                <w:rFonts w:cs="Times New Roman"/>
                <w:b/>
                <w:sz w:val="24"/>
                <w:szCs w:val="24"/>
              </w:rPr>
            </w:pPr>
            <w:r>
              <w:rPr>
                <w:rFonts w:cs="Times New Roman"/>
                <w:b/>
                <w:sz w:val="24"/>
                <w:szCs w:val="24"/>
              </w:rPr>
              <w:t>导师配套</w:t>
            </w:r>
            <w:r>
              <w:rPr>
                <w:rFonts w:cs="Times New Roman"/>
                <w:b/>
                <w:sz w:val="24"/>
                <w:szCs w:val="24"/>
              </w:rPr>
              <w:t>*</w:t>
            </w:r>
          </w:p>
        </w:tc>
      </w:tr>
      <w:tr>
        <w:tblPrEx>
          <w:tblW w:w="8642" w:type="dxa"/>
          <w:jc w:val="center"/>
          <w:tblLayout w:type="fixed"/>
          <w:tblLook w:val="04A0"/>
        </w:tblPrEx>
        <w:trPr>
          <w:trHeight w:val="397"/>
          <w:jc w:val="center"/>
        </w:trPr>
        <w:tc>
          <w:tcPr>
            <w:tcW w:w="1390" w:type="dxa"/>
            <w:vMerge/>
          </w:tcPr>
          <w:p w:rsidR="009866BB">
            <w:pPr>
              <w:spacing w:line="240" w:lineRule="auto"/>
              <w:jc w:val="center"/>
              <w:rPr>
                <w:rFonts w:cs="Times New Roman"/>
                <w:sz w:val="24"/>
                <w:szCs w:val="24"/>
              </w:rPr>
            </w:pPr>
          </w:p>
        </w:tc>
        <w:tc>
          <w:tcPr>
            <w:tcW w:w="2094" w:type="dxa"/>
            <w:vMerge/>
            <w:vAlign w:val="center"/>
          </w:tcPr>
          <w:p w:rsidR="009866BB">
            <w:pPr>
              <w:spacing w:line="240" w:lineRule="auto"/>
              <w:jc w:val="center"/>
              <w:rPr>
                <w:rFonts w:cs="Times New Roman"/>
                <w:sz w:val="24"/>
                <w:szCs w:val="24"/>
              </w:rPr>
            </w:pPr>
          </w:p>
        </w:tc>
        <w:tc>
          <w:tcPr>
            <w:tcW w:w="1577" w:type="dxa"/>
            <w:vMerge/>
            <w:vAlign w:val="center"/>
          </w:tcPr>
          <w:p w:rsidR="009866BB">
            <w:pPr>
              <w:spacing w:line="240" w:lineRule="auto"/>
              <w:jc w:val="center"/>
              <w:rPr>
                <w:rFonts w:cs="Times New Roman"/>
                <w:sz w:val="24"/>
                <w:szCs w:val="24"/>
              </w:rPr>
            </w:pPr>
          </w:p>
        </w:tc>
        <w:tc>
          <w:tcPr>
            <w:tcW w:w="2022" w:type="dxa"/>
            <w:vMerge/>
            <w:vAlign w:val="center"/>
          </w:tcPr>
          <w:p w:rsidR="009866BB">
            <w:pPr>
              <w:spacing w:line="240" w:lineRule="auto"/>
              <w:jc w:val="center"/>
              <w:rPr>
                <w:rFonts w:cs="Times New Roman"/>
                <w:sz w:val="24"/>
                <w:szCs w:val="24"/>
              </w:rPr>
            </w:pPr>
          </w:p>
        </w:tc>
        <w:tc>
          <w:tcPr>
            <w:tcW w:w="1559" w:type="dxa"/>
            <w:vMerge/>
            <w:vAlign w:val="center"/>
          </w:tcPr>
          <w:p w:rsidR="009866BB">
            <w:pPr>
              <w:spacing w:line="240" w:lineRule="auto"/>
              <w:jc w:val="center"/>
              <w:rPr>
                <w:rFonts w:cs="Times New Roman"/>
                <w:b/>
                <w:sz w:val="24"/>
                <w:szCs w:val="24"/>
              </w:rPr>
            </w:pPr>
          </w:p>
        </w:tc>
      </w:tr>
      <w:tr>
        <w:tblPrEx>
          <w:tblW w:w="8642" w:type="dxa"/>
          <w:jc w:val="center"/>
          <w:tblLayout w:type="fixed"/>
          <w:tblLook w:val="04A0"/>
        </w:tblPrEx>
        <w:trPr>
          <w:trHeight w:val="397"/>
          <w:jc w:val="center"/>
        </w:trPr>
        <w:tc>
          <w:tcPr>
            <w:tcW w:w="1390" w:type="dxa"/>
            <w:vMerge w:val="restart"/>
            <w:vAlign w:val="center"/>
          </w:tcPr>
          <w:p w:rsidR="009866BB">
            <w:pPr>
              <w:spacing w:line="240" w:lineRule="auto"/>
              <w:jc w:val="center"/>
              <w:rPr>
                <w:rFonts w:cs="Times New Roman"/>
                <w:sz w:val="24"/>
                <w:szCs w:val="24"/>
              </w:rPr>
            </w:pPr>
            <w:r>
              <w:rPr>
                <w:rFonts w:cs="Times New Roman"/>
                <w:sz w:val="24"/>
                <w:szCs w:val="24"/>
              </w:rPr>
              <w:t>直接攻读</w:t>
            </w:r>
          </w:p>
          <w:p w:rsidR="009866BB">
            <w:pPr>
              <w:spacing w:line="240" w:lineRule="auto"/>
              <w:jc w:val="center"/>
              <w:rPr>
                <w:rFonts w:cs="Times New Roman"/>
                <w:sz w:val="24"/>
                <w:szCs w:val="24"/>
              </w:rPr>
            </w:pPr>
            <w:r>
              <w:rPr>
                <w:rFonts w:cs="Times New Roman"/>
                <w:sz w:val="24"/>
                <w:szCs w:val="24"/>
              </w:rPr>
              <w:t>博士学位</w:t>
            </w:r>
          </w:p>
          <w:p w:rsidR="009866BB">
            <w:pPr>
              <w:spacing w:line="240" w:lineRule="auto"/>
              <w:jc w:val="center"/>
              <w:rPr>
                <w:rFonts w:cs="Times New Roman"/>
                <w:sz w:val="24"/>
                <w:szCs w:val="24"/>
              </w:rPr>
            </w:pPr>
            <w:r>
              <w:rPr>
                <w:rFonts w:cs="Times New Roman"/>
                <w:sz w:val="24"/>
                <w:szCs w:val="24"/>
              </w:rPr>
              <w:t>研究生</w:t>
            </w:r>
          </w:p>
        </w:tc>
        <w:tc>
          <w:tcPr>
            <w:tcW w:w="2094" w:type="dxa"/>
            <w:vAlign w:val="center"/>
          </w:tcPr>
          <w:p w:rsidR="009866BB">
            <w:pPr>
              <w:spacing w:line="240" w:lineRule="auto"/>
              <w:jc w:val="center"/>
              <w:rPr>
                <w:rFonts w:cs="Times New Roman"/>
                <w:sz w:val="24"/>
                <w:szCs w:val="24"/>
              </w:rPr>
            </w:pPr>
            <w:r>
              <w:rPr>
                <w:rFonts w:cs="Times New Roman"/>
                <w:sz w:val="24"/>
                <w:szCs w:val="24"/>
              </w:rPr>
              <w:t>第一学年</w:t>
            </w:r>
          </w:p>
        </w:tc>
        <w:tc>
          <w:tcPr>
            <w:tcW w:w="1577" w:type="dxa"/>
            <w:vAlign w:val="center"/>
          </w:tcPr>
          <w:p w:rsidR="009866BB">
            <w:pPr>
              <w:spacing w:line="240" w:lineRule="auto"/>
              <w:jc w:val="center"/>
              <w:rPr>
                <w:rFonts w:cs="Times New Roman"/>
                <w:sz w:val="24"/>
                <w:szCs w:val="24"/>
              </w:rPr>
            </w:pPr>
            <w:r>
              <w:rPr>
                <w:rFonts w:cs="Times New Roman"/>
                <w:sz w:val="24"/>
                <w:szCs w:val="24"/>
              </w:rPr>
              <w:t>10000</w:t>
            </w:r>
            <w:r>
              <w:rPr>
                <w:rFonts w:cs="Times New Roman"/>
                <w:sz w:val="24"/>
                <w:szCs w:val="24"/>
              </w:rPr>
              <w:t>元</w:t>
            </w:r>
            <w:r>
              <w:rPr>
                <w:rFonts w:cs="Times New Roman"/>
                <w:sz w:val="24"/>
                <w:szCs w:val="24"/>
              </w:rPr>
              <w:t>/</w:t>
            </w:r>
            <w:r>
              <w:rPr>
                <w:rFonts w:cs="Times New Roman"/>
                <w:sz w:val="24"/>
                <w:szCs w:val="24"/>
              </w:rPr>
              <w:t>年</w:t>
            </w:r>
          </w:p>
        </w:tc>
        <w:tc>
          <w:tcPr>
            <w:tcW w:w="2022" w:type="dxa"/>
            <w:vAlign w:val="center"/>
          </w:tcPr>
          <w:p w:rsidR="009866BB">
            <w:pPr>
              <w:spacing w:line="240" w:lineRule="auto"/>
              <w:jc w:val="center"/>
              <w:rPr>
                <w:rFonts w:cs="Times New Roman"/>
                <w:sz w:val="24"/>
                <w:szCs w:val="24"/>
              </w:rPr>
            </w:pPr>
            <w:r>
              <w:rPr>
                <w:rFonts w:cs="Times New Roman"/>
                <w:sz w:val="24"/>
                <w:szCs w:val="24"/>
              </w:rPr>
              <w:t>3750</w:t>
            </w:r>
            <w:r>
              <w:rPr>
                <w:rFonts w:cs="Times New Roman"/>
                <w:sz w:val="24"/>
                <w:szCs w:val="24"/>
              </w:rPr>
              <w:t>元</w:t>
            </w:r>
            <w:r>
              <w:rPr>
                <w:rFonts w:cs="Times New Roman"/>
                <w:sz w:val="24"/>
                <w:szCs w:val="24"/>
              </w:rPr>
              <w:t>/</w:t>
            </w:r>
            <w:r>
              <w:rPr>
                <w:rFonts w:cs="Times New Roman"/>
                <w:sz w:val="24"/>
                <w:szCs w:val="24"/>
              </w:rPr>
              <w:t>月</w:t>
            </w:r>
          </w:p>
        </w:tc>
        <w:tc>
          <w:tcPr>
            <w:tcW w:w="1559" w:type="dxa"/>
            <w:vAlign w:val="center"/>
          </w:tcPr>
          <w:p w:rsidR="009866BB">
            <w:pPr>
              <w:spacing w:line="240" w:lineRule="auto"/>
              <w:rPr>
                <w:rFonts w:cs="Times New Roman"/>
                <w:sz w:val="24"/>
                <w:szCs w:val="24"/>
              </w:rPr>
            </w:pPr>
            <w:r>
              <w:rPr>
                <w:rFonts w:cs="Times New Roman"/>
                <w:sz w:val="24"/>
                <w:szCs w:val="24"/>
              </w:rPr>
              <w:t>1500</w:t>
            </w:r>
            <w:r>
              <w:rPr>
                <w:rFonts w:cs="Times New Roman"/>
                <w:sz w:val="24"/>
                <w:szCs w:val="24"/>
              </w:rPr>
              <w:t>元</w:t>
            </w:r>
            <w:r>
              <w:rPr>
                <w:rFonts w:cs="Times New Roman"/>
                <w:sz w:val="24"/>
                <w:szCs w:val="24"/>
              </w:rPr>
              <w:t>/</w:t>
            </w:r>
            <w:r>
              <w:rPr>
                <w:rFonts w:cs="Times New Roman"/>
                <w:sz w:val="24"/>
                <w:szCs w:val="24"/>
              </w:rPr>
              <w:t>月</w:t>
            </w:r>
          </w:p>
        </w:tc>
      </w:tr>
      <w:tr>
        <w:tblPrEx>
          <w:tblW w:w="8642" w:type="dxa"/>
          <w:jc w:val="center"/>
          <w:tblLayout w:type="fixed"/>
          <w:tblLook w:val="04A0"/>
        </w:tblPrEx>
        <w:trPr>
          <w:trHeight w:val="397"/>
          <w:jc w:val="center"/>
        </w:trPr>
        <w:tc>
          <w:tcPr>
            <w:tcW w:w="1390" w:type="dxa"/>
            <w:vMerge/>
            <w:vAlign w:val="center"/>
          </w:tcPr>
          <w:p w:rsidR="009866BB">
            <w:pPr>
              <w:spacing w:line="240" w:lineRule="auto"/>
              <w:jc w:val="center"/>
              <w:rPr>
                <w:rFonts w:cs="Times New Roman"/>
                <w:sz w:val="24"/>
                <w:szCs w:val="24"/>
              </w:rPr>
            </w:pPr>
          </w:p>
        </w:tc>
        <w:tc>
          <w:tcPr>
            <w:tcW w:w="2094" w:type="dxa"/>
            <w:vAlign w:val="center"/>
          </w:tcPr>
          <w:p w:rsidR="009866BB">
            <w:pPr>
              <w:spacing w:line="240" w:lineRule="auto"/>
              <w:jc w:val="center"/>
              <w:rPr>
                <w:rFonts w:cs="Times New Roman"/>
                <w:sz w:val="24"/>
                <w:szCs w:val="24"/>
              </w:rPr>
            </w:pPr>
            <w:r>
              <w:rPr>
                <w:rFonts w:cs="Times New Roman"/>
                <w:sz w:val="24"/>
                <w:szCs w:val="24"/>
              </w:rPr>
              <w:t>第二至</w:t>
            </w:r>
          </w:p>
          <w:p w:rsidR="009866BB">
            <w:pPr>
              <w:spacing w:line="240" w:lineRule="auto"/>
              <w:jc w:val="center"/>
              <w:rPr>
                <w:rFonts w:cs="Times New Roman"/>
                <w:sz w:val="24"/>
                <w:szCs w:val="24"/>
              </w:rPr>
            </w:pPr>
            <w:r>
              <w:rPr>
                <w:rFonts w:cs="Times New Roman"/>
                <w:sz w:val="24"/>
                <w:szCs w:val="24"/>
              </w:rPr>
              <w:t>第五学年</w:t>
            </w:r>
          </w:p>
        </w:tc>
        <w:tc>
          <w:tcPr>
            <w:tcW w:w="1577" w:type="dxa"/>
            <w:vAlign w:val="center"/>
          </w:tcPr>
          <w:p w:rsidR="009866BB">
            <w:pPr>
              <w:spacing w:line="240" w:lineRule="auto"/>
              <w:jc w:val="center"/>
              <w:rPr>
                <w:rFonts w:cs="Times New Roman"/>
                <w:sz w:val="24"/>
                <w:szCs w:val="24"/>
              </w:rPr>
            </w:pPr>
            <w:r>
              <w:rPr>
                <w:rFonts w:cs="Times New Roman"/>
                <w:sz w:val="24"/>
                <w:szCs w:val="24"/>
              </w:rPr>
              <w:t>10000</w:t>
            </w:r>
            <w:r>
              <w:rPr>
                <w:rFonts w:cs="Times New Roman"/>
                <w:sz w:val="24"/>
                <w:szCs w:val="24"/>
              </w:rPr>
              <w:t>元</w:t>
            </w:r>
            <w:r>
              <w:rPr>
                <w:rFonts w:cs="Times New Roman"/>
                <w:sz w:val="24"/>
                <w:szCs w:val="24"/>
              </w:rPr>
              <w:t>/</w:t>
            </w:r>
            <w:r>
              <w:rPr>
                <w:rFonts w:cs="Times New Roman"/>
                <w:sz w:val="24"/>
                <w:szCs w:val="24"/>
              </w:rPr>
              <w:t>年</w:t>
            </w:r>
          </w:p>
        </w:tc>
        <w:tc>
          <w:tcPr>
            <w:tcW w:w="2022" w:type="dxa"/>
            <w:vAlign w:val="center"/>
          </w:tcPr>
          <w:p w:rsidR="009866BB">
            <w:pPr>
              <w:spacing w:line="240" w:lineRule="auto"/>
              <w:jc w:val="center"/>
              <w:rPr>
                <w:rFonts w:cs="Times New Roman"/>
                <w:sz w:val="24"/>
                <w:szCs w:val="24"/>
              </w:rPr>
            </w:pPr>
            <w:r>
              <w:rPr>
                <w:rFonts w:cs="Times New Roman"/>
                <w:sz w:val="24"/>
                <w:szCs w:val="24"/>
              </w:rPr>
              <w:t>3750</w:t>
            </w:r>
            <w:r>
              <w:rPr>
                <w:rFonts w:cs="Times New Roman"/>
                <w:sz w:val="24"/>
                <w:szCs w:val="24"/>
              </w:rPr>
              <w:t>元</w:t>
            </w:r>
            <w:r>
              <w:rPr>
                <w:rFonts w:cs="Times New Roman"/>
                <w:sz w:val="24"/>
                <w:szCs w:val="24"/>
              </w:rPr>
              <w:t>/</w:t>
            </w:r>
            <w:r>
              <w:rPr>
                <w:rFonts w:cs="Times New Roman"/>
                <w:sz w:val="24"/>
                <w:szCs w:val="24"/>
              </w:rPr>
              <w:t>月</w:t>
            </w:r>
          </w:p>
        </w:tc>
        <w:tc>
          <w:tcPr>
            <w:tcW w:w="1559" w:type="dxa"/>
            <w:vAlign w:val="center"/>
          </w:tcPr>
          <w:p w:rsidR="009866BB">
            <w:pPr>
              <w:spacing w:line="240" w:lineRule="auto"/>
              <w:rPr>
                <w:rFonts w:cs="Times New Roman"/>
                <w:sz w:val="24"/>
                <w:szCs w:val="24"/>
              </w:rPr>
            </w:pPr>
            <w:r>
              <w:rPr>
                <w:rFonts w:cs="Times New Roman"/>
                <w:sz w:val="24"/>
                <w:szCs w:val="24"/>
              </w:rPr>
              <w:t>2000</w:t>
            </w:r>
            <w:r>
              <w:rPr>
                <w:rFonts w:cs="Times New Roman"/>
                <w:sz w:val="24"/>
                <w:szCs w:val="24"/>
              </w:rPr>
              <w:t>元</w:t>
            </w:r>
            <w:r>
              <w:rPr>
                <w:rFonts w:cs="Times New Roman"/>
                <w:sz w:val="24"/>
                <w:szCs w:val="24"/>
              </w:rPr>
              <w:t>/</w:t>
            </w:r>
            <w:r>
              <w:rPr>
                <w:rFonts w:cs="Times New Roman"/>
                <w:sz w:val="24"/>
                <w:szCs w:val="24"/>
              </w:rPr>
              <w:t>月</w:t>
            </w:r>
          </w:p>
        </w:tc>
      </w:tr>
      <w:tr>
        <w:tblPrEx>
          <w:tblW w:w="8642" w:type="dxa"/>
          <w:jc w:val="center"/>
          <w:tblLayout w:type="fixed"/>
          <w:tblLook w:val="04A0"/>
        </w:tblPrEx>
        <w:trPr>
          <w:trHeight w:val="397"/>
          <w:jc w:val="center"/>
        </w:trPr>
        <w:tc>
          <w:tcPr>
            <w:tcW w:w="1390" w:type="dxa"/>
            <w:vMerge w:val="restart"/>
            <w:vAlign w:val="center"/>
          </w:tcPr>
          <w:p w:rsidR="009866BB">
            <w:pPr>
              <w:spacing w:line="240" w:lineRule="auto"/>
              <w:jc w:val="center"/>
              <w:rPr>
                <w:rFonts w:cs="Times New Roman"/>
                <w:sz w:val="24"/>
                <w:szCs w:val="24"/>
              </w:rPr>
            </w:pPr>
            <w:r>
              <w:rPr>
                <w:rFonts w:cs="Times New Roman"/>
                <w:sz w:val="24"/>
                <w:szCs w:val="24"/>
              </w:rPr>
              <w:t>硕博连读</w:t>
            </w:r>
          </w:p>
          <w:p w:rsidR="009866BB">
            <w:pPr>
              <w:spacing w:line="240" w:lineRule="auto"/>
              <w:jc w:val="center"/>
              <w:rPr>
                <w:rFonts w:cs="Times New Roman"/>
                <w:sz w:val="24"/>
                <w:szCs w:val="24"/>
              </w:rPr>
            </w:pPr>
            <w:r>
              <w:rPr>
                <w:rFonts w:cs="Times New Roman"/>
                <w:sz w:val="24"/>
                <w:szCs w:val="24"/>
              </w:rPr>
              <w:t>研究生</w:t>
            </w:r>
          </w:p>
        </w:tc>
        <w:tc>
          <w:tcPr>
            <w:tcW w:w="2094" w:type="dxa"/>
            <w:vAlign w:val="center"/>
          </w:tcPr>
          <w:p w:rsidR="009866BB">
            <w:pPr>
              <w:spacing w:line="240" w:lineRule="auto"/>
              <w:jc w:val="center"/>
              <w:rPr>
                <w:rFonts w:cs="Times New Roman"/>
                <w:sz w:val="24"/>
                <w:szCs w:val="24"/>
              </w:rPr>
            </w:pPr>
            <w:r>
              <w:rPr>
                <w:rFonts w:cs="Times New Roman"/>
                <w:sz w:val="24"/>
                <w:szCs w:val="24"/>
              </w:rPr>
              <w:t>硕士阶段</w:t>
            </w:r>
          </w:p>
          <w:p w:rsidR="009866BB">
            <w:pPr>
              <w:spacing w:line="240" w:lineRule="auto"/>
              <w:jc w:val="center"/>
              <w:rPr>
                <w:rFonts w:cs="Times New Roman"/>
                <w:sz w:val="24"/>
                <w:szCs w:val="24"/>
              </w:rPr>
            </w:pPr>
            <w:r>
              <w:rPr>
                <w:rFonts w:cs="Times New Roman"/>
                <w:sz w:val="24"/>
                <w:szCs w:val="24"/>
              </w:rPr>
              <w:t>第一学年</w:t>
            </w:r>
          </w:p>
        </w:tc>
        <w:tc>
          <w:tcPr>
            <w:tcW w:w="1577" w:type="dxa"/>
            <w:vAlign w:val="center"/>
          </w:tcPr>
          <w:p w:rsidR="009866BB">
            <w:pPr>
              <w:spacing w:line="240" w:lineRule="auto"/>
              <w:jc w:val="center"/>
              <w:rPr>
                <w:rFonts w:cs="Times New Roman"/>
                <w:sz w:val="24"/>
                <w:szCs w:val="24"/>
              </w:rPr>
            </w:pPr>
            <w:r>
              <w:rPr>
                <w:rFonts w:cs="Times New Roman"/>
                <w:sz w:val="24"/>
                <w:szCs w:val="24"/>
              </w:rPr>
              <w:t>8000</w:t>
            </w:r>
            <w:r>
              <w:rPr>
                <w:rFonts w:cs="Times New Roman"/>
                <w:sz w:val="24"/>
                <w:szCs w:val="24"/>
              </w:rPr>
              <w:t>元</w:t>
            </w:r>
            <w:r>
              <w:rPr>
                <w:rFonts w:cs="Times New Roman"/>
                <w:sz w:val="24"/>
                <w:szCs w:val="24"/>
              </w:rPr>
              <w:t>/</w:t>
            </w:r>
            <w:r>
              <w:rPr>
                <w:rFonts w:cs="Times New Roman"/>
                <w:sz w:val="24"/>
                <w:szCs w:val="24"/>
              </w:rPr>
              <w:t>年</w:t>
            </w:r>
          </w:p>
        </w:tc>
        <w:tc>
          <w:tcPr>
            <w:tcW w:w="2022" w:type="dxa"/>
            <w:vAlign w:val="center"/>
          </w:tcPr>
          <w:p w:rsidR="009866BB">
            <w:pPr>
              <w:spacing w:line="240" w:lineRule="auto"/>
              <w:jc w:val="center"/>
              <w:rPr>
                <w:rFonts w:cs="Times New Roman"/>
                <w:sz w:val="24"/>
                <w:szCs w:val="24"/>
              </w:rPr>
            </w:pPr>
            <w:r>
              <w:rPr>
                <w:rFonts w:cs="Times New Roman"/>
                <w:sz w:val="24"/>
                <w:szCs w:val="24"/>
              </w:rPr>
              <w:t>2000</w:t>
            </w:r>
            <w:r>
              <w:rPr>
                <w:rFonts w:cs="Times New Roman"/>
                <w:sz w:val="24"/>
                <w:szCs w:val="24"/>
              </w:rPr>
              <w:t>元</w:t>
            </w:r>
            <w:r>
              <w:rPr>
                <w:rFonts w:cs="Times New Roman"/>
                <w:sz w:val="24"/>
                <w:szCs w:val="24"/>
              </w:rPr>
              <w:t>/</w:t>
            </w:r>
            <w:r>
              <w:rPr>
                <w:rFonts w:cs="Times New Roman"/>
                <w:sz w:val="24"/>
                <w:szCs w:val="24"/>
              </w:rPr>
              <w:t>月</w:t>
            </w:r>
          </w:p>
        </w:tc>
        <w:tc>
          <w:tcPr>
            <w:tcW w:w="1559" w:type="dxa"/>
            <w:vAlign w:val="center"/>
          </w:tcPr>
          <w:p w:rsidR="009866BB">
            <w:pPr>
              <w:spacing w:line="240" w:lineRule="auto"/>
              <w:rPr>
                <w:rFonts w:cs="Times New Roman"/>
                <w:sz w:val="24"/>
                <w:szCs w:val="24"/>
              </w:rPr>
            </w:pPr>
            <w:r>
              <w:rPr>
                <w:rFonts w:cs="Times New Roman"/>
                <w:sz w:val="24"/>
                <w:szCs w:val="24"/>
              </w:rPr>
              <w:t>1000</w:t>
            </w:r>
            <w:r>
              <w:rPr>
                <w:rFonts w:cs="Times New Roman"/>
                <w:sz w:val="24"/>
                <w:szCs w:val="24"/>
              </w:rPr>
              <w:t>元</w:t>
            </w:r>
            <w:r>
              <w:rPr>
                <w:rFonts w:cs="Times New Roman"/>
                <w:sz w:val="24"/>
                <w:szCs w:val="24"/>
              </w:rPr>
              <w:t>/</w:t>
            </w:r>
            <w:r>
              <w:rPr>
                <w:rFonts w:cs="Times New Roman"/>
                <w:sz w:val="24"/>
                <w:szCs w:val="24"/>
              </w:rPr>
              <w:t>月</w:t>
            </w:r>
          </w:p>
        </w:tc>
      </w:tr>
      <w:tr>
        <w:tblPrEx>
          <w:tblW w:w="8642" w:type="dxa"/>
          <w:jc w:val="center"/>
          <w:tblLayout w:type="fixed"/>
          <w:tblLook w:val="04A0"/>
        </w:tblPrEx>
        <w:trPr>
          <w:trHeight w:val="397"/>
          <w:jc w:val="center"/>
        </w:trPr>
        <w:tc>
          <w:tcPr>
            <w:tcW w:w="1390" w:type="dxa"/>
            <w:vMerge/>
            <w:vAlign w:val="center"/>
          </w:tcPr>
          <w:p w:rsidR="009866BB">
            <w:pPr>
              <w:spacing w:line="240" w:lineRule="auto"/>
              <w:jc w:val="center"/>
              <w:rPr>
                <w:rFonts w:cs="Times New Roman"/>
                <w:sz w:val="24"/>
                <w:szCs w:val="24"/>
              </w:rPr>
            </w:pPr>
          </w:p>
        </w:tc>
        <w:tc>
          <w:tcPr>
            <w:tcW w:w="2094" w:type="dxa"/>
            <w:vAlign w:val="center"/>
          </w:tcPr>
          <w:p w:rsidR="009866BB">
            <w:pPr>
              <w:spacing w:line="240" w:lineRule="auto"/>
              <w:jc w:val="center"/>
              <w:rPr>
                <w:rFonts w:cs="Times New Roman"/>
                <w:sz w:val="24"/>
                <w:szCs w:val="24"/>
              </w:rPr>
            </w:pPr>
            <w:r>
              <w:rPr>
                <w:rFonts w:cs="Times New Roman"/>
                <w:sz w:val="24"/>
                <w:szCs w:val="24"/>
              </w:rPr>
              <w:t>硕士阶段</w:t>
            </w:r>
          </w:p>
          <w:p w:rsidR="009866BB">
            <w:pPr>
              <w:spacing w:line="240" w:lineRule="auto"/>
              <w:jc w:val="center"/>
              <w:rPr>
                <w:rFonts w:cs="Times New Roman"/>
                <w:sz w:val="24"/>
                <w:szCs w:val="24"/>
              </w:rPr>
            </w:pPr>
            <w:r>
              <w:rPr>
                <w:rFonts w:cs="Times New Roman"/>
                <w:sz w:val="24"/>
                <w:szCs w:val="24"/>
              </w:rPr>
              <w:t>第二学年</w:t>
            </w:r>
          </w:p>
        </w:tc>
        <w:tc>
          <w:tcPr>
            <w:tcW w:w="1577" w:type="dxa"/>
            <w:vAlign w:val="center"/>
          </w:tcPr>
          <w:p w:rsidR="009866BB">
            <w:pPr>
              <w:spacing w:line="240" w:lineRule="auto"/>
              <w:jc w:val="center"/>
              <w:rPr>
                <w:rFonts w:cs="Times New Roman"/>
                <w:sz w:val="24"/>
                <w:szCs w:val="24"/>
              </w:rPr>
            </w:pPr>
            <w:r>
              <w:rPr>
                <w:rFonts w:cs="Times New Roman"/>
                <w:sz w:val="24"/>
                <w:szCs w:val="24"/>
              </w:rPr>
              <w:t>8000</w:t>
            </w:r>
            <w:r>
              <w:rPr>
                <w:rFonts w:cs="Times New Roman"/>
                <w:sz w:val="24"/>
                <w:szCs w:val="24"/>
              </w:rPr>
              <w:t>元</w:t>
            </w:r>
            <w:r>
              <w:rPr>
                <w:rFonts w:cs="Times New Roman"/>
                <w:sz w:val="24"/>
                <w:szCs w:val="24"/>
              </w:rPr>
              <w:t>/</w:t>
            </w:r>
            <w:r>
              <w:rPr>
                <w:rFonts w:cs="Times New Roman"/>
                <w:sz w:val="24"/>
                <w:szCs w:val="24"/>
              </w:rPr>
              <w:t>年</w:t>
            </w:r>
          </w:p>
        </w:tc>
        <w:tc>
          <w:tcPr>
            <w:tcW w:w="2022" w:type="dxa"/>
            <w:vAlign w:val="center"/>
          </w:tcPr>
          <w:p w:rsidR="009866BB">
            <w:pPr>
              <w:spacing w:line="240" w:lineRule="auto"/>
              <w:jc w:val="center"/>
              <w:rPr>
                <w:rFonts w:cs="Times New Roman"/>
                <w:sz w:val="24"/>
                <w:szCs w:val="24"/>
              </w:rPr>
            </w:pPr>
            <w:r>
              <w:rPr>
                <w:rFonts w:cs="Times New Roman"/>
                <w:sz w:val="24"/>
                <w:szCs w:val="24"/>
              </w:rPr>
              <w:t>3750</w:t>
            </w:r>
            <w:r>
              <w:rPr>
                <w:rFonts w:cs="Times New Roman"/>
                <w:sz w:val="24"/>
                <w:szCs w:val="24"/>
              </w:rPr>
              <w:t>元</w:t>
            </w:r>
            <w:r>
              <w:rPr>
                <w:rFonts w:cs="Times New Roman"/>
                <w:sz w:val="24"/>
                <w:szCs w:val="24"/>
              </w:rPr>
              <w:t>/</w:t>
            </w:r>
            <w:r>
              <w:rPr>
                <w:rFonts w:cs="Times New Roman"/>
                <w:sz w:val="24"/>
                <w:szCs w:val="24"/>
              </w:rPr>
              <w:t>月</w:t>
            </w:r>
          </w:p>
        </w:tc>
        <w:tc>
          <w:tcPr>
            <w:tcW w:w="1559" w:type="dxa"/>
            <w:vAlign w:val="center"/>
          </w:tcPr>
          <w:p w:rsidR="009866BB">
            <w:pPr>
              <w:spacing w:line="240" w:lineRule="auto"/>
              <w:rPr>
                <w:rFonts w:cs="Times New Roman"/>
                <w:sz w:val="24"/>
                <w:szCs w:val="24"/>
              </w:rPr>
            </w:pPr>
            <w:r>
              <w:rPr>
                <w:rFonts w:cs="Times New Roman"/>
                <w:sz w:val="24"/>
                <w:szCs w:val="24"/>
              </w:rPr>
              <w:t>1500</w:t>
            </w:r>
            <w:r>
              <w:rPr>
                <w:rFonts w:cs="Times New Roman"/>
                <w:sz w:val="24"/>
                <w:szCs w:val="24"/>
              </w:rPr>
              <w:t>元</w:t>
            </w:r>
            <w:r>
              <w:rPr>
                <w:rFonts w:cs="Times New Roman"/>
                <w:sz w:val="24"/>
                <w:szCs w:val="24"/>
              </w:rPr>
              <w:t>/</w:t>
            </w:r>
            <w:r>
              <w:rPr>
                <w:rFonts w:cs="Times New Roman"/>
                <w:sz w:val="24"/>
                <w:szCs w:val="24"/>
              </w:rPr>
              <w:t>月</w:t>
            </w:r>
          </w:p>
        </w:tc>
      </w:tr>
      <w:tr>
        <w:tblPrEx>
          <w:tblW w:w="8642" w:type="dxa"/>
          <w:jc w:val="center"/>
          <w:tblLayout w:type="fixed"/>
          <w:tblLook w:val="04A0"/>
        </w:tblPrEx>
        <w:trPr>
          <w:trHeight w:val="397"/>
          <w:jc w:val="center"/>
        </w:trPr>
        <w:tc>
          <w:tcPr>
            <w:tcW w:w="1390" w:type="dxa"/>
            <w:vMerge/>
            <w:vAlign w:val="center"/>
          </w:tcPr>
          <w:p w:rsidR="009866BB">
            <w:pPr>
              <w:spacing w:line="240" w:lineRule="auto"/>
              <w:jc w:val="center"/>
              <w:rPr>
                <w:rFonts w:cs="Times New Roman"/>
                <w:sz w:val="24"/>
                <w:szCs w:val="24"/>
              </w:rPr>
            </w:pPr>
          </w:p>
        </w:tc>
        <w:tc>
          <w:tcPr>
            <w:tcW w:w="2094" w:type="dxa"/>
            <w:vAlign w:val="center"/>
          </w:tcPr>
          <w:p w:rsidR="009866BB">
            <w:pPr>
              <w:spacing w:line="240" w:lineRule="auto"/>
              <w:jc w:val="center"/>
              <w:rPr>
                <w:rFonts w:cs="Times New Roman"/>
                <w:sz w:val="24"/>
                <w:szCs w:val="24"/>
              </w:rPr>
            </w:pPr>
            <w:r>
              <w:rPr>
                <w:rFonts w:cs="Times New Roman"/>
                <w:sz w:val="24"/>
                <w:szCs w:val="24"/>
              </w:rPr>
              <w:t>进入博士生阶段且通过博士论文开题后，第三、四、五学年</w:t>
            </w:r>
          </w:p>
        </w:tc>
        <w:tc>
          <w:tcPr>
            <w:tcW w:w="1577" w:type="dxa"/>
            <w:vAlign w:val="center"/>
          </w:tcPr>
          <w:p w:rsidR="009866BB">
            <w:pPr>
              <w:spacing w:line="240" w:lineRule="auto"/>
              <w:jc w:val="center"/>
              <w:rPr>
                <w:rFonts w:cs="Times New Roman"/>
                <w:sz w:val="24"/>
                <w:szCs w:val="24"/>
              </w:rPr>
            </w:pPr>
            <w:r>
              <w:rPr>
                <w:rFonts w:cs="Times New Roman"/>
                <w:sz w:val="24"/>
                <w:szCs w:val="24"/>
              </w:rPr>
              <w:t>10000</w:t>
            </w:r>
            <w:r>
              <w:rPr>
                <w:rFonts w:cs="Times New Roman"/>
                <w:sz w:val="24"/>
                <w:szCs w:val="24"/>
              </w:rPr>
              <w:t>元</w:t>
            </w:r>
            <w:r>
              <w:rPr>
                <w:rFonts w:cs="Times New Roman"/>
                <w:sz w:val="24"/>
                <w:szCs w:val="24"/>
              </w:rPr>
              <w:t>/</w:t>
            </w:r>
            <w:r>
              <w:rPr>
                <w:rFonts w:cs="Times New Roman"/>
                <w:sz w:val="24"/>
                <w:szCs w:val="24"/>
              </w:rPr>
              <w:t>年</w:t>
            </w:r>
          </w:p>
        </w:tc>
        <w:tc>
          <w:tcPr>
            <w:tcW w:w="2022" w:type="dxa"/>
            <w:vAlign w:val="center"/>
          </w:tcPr>
          <w:p w:rsidR="009866BB">
            <w:pPr>
              <w:spacing w:line="240" w:lineRule="auto"/>
              <w:jc w:val="center"/>
              <w:rPr>
                <w:rFonts w:cs="Times New Roman"/>
                <w:sz w:val="24"/>
                <w:szCs w:val="24"/>
              </w:rPr>
            </w:pPr>
            <w:r>
              <w:rPr>
                <w:rFonts w:cs="Times New Roman"/>
                <w:sz w:val="24"/>
                <w:szCs w:val="24"/>
              </w:rPr>
              <w:t>3750</w:t>
            </w:r>
            <w:r>
              <w:rPr>
                <w:rFonts w:cs="Times New Roman"/>
                <w:sz w:val="24"/>
                <w:szCs w:val="24"/>
              </w:rPr>
              <w:t>元</w:t>
            </w:r>
            <w:r>
              <w:rPr>
                <w:rFonts w:cs="Times New Roman"/>
                <w:sz w:val="24"/>
                <w:szCs w:val="24"/>
              </w:rPr>
              <w:t>/</w:t>
            </w:r>
            <w:r>
              <w:rPr>
                <w:rFonts w:cs="Times New Roman"/>
                <w:sz w:val="24"/>
                <w:szCs w:val="24"/>
              </w:rPr>
              <w:t>月</w:t>
            </w:r>
          </w:p>
        </w:tc>
        <w:tc>
          <w:tcPr>
            <w:tcW w:w="1559" w:type="dxa"/>
            <w:vAlign w:val="center"/>
          </w:tcPr>
          <w:p w:rsidR="009866BB">
            <w:pPr>
              <w:spacing w:line="240" w:lineRule="auto"/>
              <w:rPr>
                <w:rFonts w:cs="Times New Roman"/>
                <w:sz w:val="24"/>
                <w:szCs w:val="24"/>
              </w:rPr>
            </w:pPr>
            <w:r>
              <w:rPr>
                <w:rFonts w:cs="Times New Roman"/>
                <w:sz w:val="24"/>
                <w:szCs w:val="24"/>
              </w:rPr>
              <w:t>2000</w:t>
            </w:r>
            <w:r>
              <w:rPr>
                <w:rFonts w:cs="Times New Roman"/>
                <w:sz w:val="24"/>
                <w:szCs w:val="24"/>
              </w:rPr>
              <w:t>元</w:t>
            </w:r>
            <w:r>
              <w:rPr>
                <w:rFonts w:cs="Times New Roman"/>
                <w:sz w:val="24"/>
                <w:szCs w:val="24"/>
              </w:rPr>
              <w:t>/</w:t>
            </w:r>
            <w:r>
              <w:rPr>
                <w:rFonts w:cs="Times New Roman"/>
                <w:sz w:val="24"/>
                <w:szCs w:val="24"/>
              </w:rPr>
              <w:t>月</w:t>
            </w:r>
          </w:p>
        </w:tc>
      </w:tr>
    </w:tbl>
    <w:p w:rsidR="009866BB">
      <w:pPr>
        <w:spacing w:line="240" w:lineRule="auto"/>
        <w:ind w:firstLine="480" w:firstLineChars="200"/>
        <w:rPr>
          <w:rFonts w:eastAsia="仿宋" w:cs="Times New Roman"/>
          <w:sz w:val="24"/>
          <w:szCs w:val="24"/>
        </w:rPr>
      </w:pPr>
      <w:r>
        <w:rPr>
          <w:rFonts w:eastAsia="仿宋" w:cs="Times New Roman"/>
          <w:sz w:val="24"/>
          <w:szCs w:val="24"/>
        </w:rPr>
        <w:t>*</w:t>
      </w:r>
      <w:r>
        <w:rPr>
          <w:rFonts w:eastAsia="仿宋" w:cs="Times New Roman"/>
          <w:sz w:val="24"/>
          <w:szCs w:val="24"/>
        </w:rPr>
        <w:t>说明：</w:t>
      </w:r>
      <w:r>
        <w:rPr>
          <w:rFonts w:eastAsia="仿宋" w:cs="Times New Roman"/>
          <w:sz w:val="24"/>
          <w:szCs w:val="24"/>
        </w:rPr>
        <w:t>1</w:t>
      </w:r>
      <w:r>
        <w:rPr>
          <w:rFonts w:eastAsia="仿宋" w:cs="Times New Roman"/>
          <w:sz w:val="24"/>
          <w:szCs w:val="24"/>
        </w:rPr>
        <w:t>、</w:t>
      </w:r>
      <w:r>
        <w:rPr>
          <w:rFonts w:eastAsia="仿宋" w:cs="Times New Roman"/>
          <w:sz w:val="24"/>
          <w:szCs w:val="24"/>
        </w:rPr>
        <w:t>2014</w:t>
      </w:r>
      <w:r>
        <w:rPr>
          <w:rFonts w:eastAsia="仿宋" w:cs="Times New Roman"/>
          <w:sz w:val="24"/>
          <w:szCs w:val="24"/>
        </w:rPr>
        <w:t>级</w:t>
      </w:r>
      <w:r>
        <w:rPr>
          <w:rFonts w:eastAsia="仿宋" w:cs="Times New Roman"/>
          <w:sz w:val="24"/>
          <w:szCs w:val="24"/>
        </w:rPr>
        <w:t>“</w:t>
      </w:r>
      <w:r>
        <w:rPr>
          <w:rFonts w:eastAsia="仿宋" w:cs="Times New Roman"/>
          <w:sz w:val="24"/>
          <w:szCs w:val="24"/>
        </w:rPr>
        <w:t>优生优培</w:t>
      </w:r>
      <w:r>
        <w:rPr>
          <w:rFonts w:eastAsia="仿宋" w:cs="Times New Roman"/>
          <w:sz w:val="24"/>
          <w:szCs w:val="24"/>
        </w:rPr>
        <w:t>”</w:t>
      </w:r>
      <w:r>
        <w:rPr>
          <w:rFonts w:eastAsia="仿宋" w:cs="Times New Roman"/>
          <w:sz w:val="24"/>
          <w:szCs w:val="24"/>
        </w:rPr>
        <w:t>资助计划研究生的学业奖学金、学业助学金按照本办法确定标准执行，导师配套投入标准按照《中山大学博士研究生</w:t>
      </w:r>
      <w:r>
        <w:rPr>
          <w:rFonts w:eastAsia="仿宋" w:cs="Times New Roman"/>
          <w:sz w:val="24"/>
          <w:szCs w:val="24"/>
        </w:rPr>
        <w:t>“</w:t>
      </w:r>
      <w:r>
        <w:rPr>
          <w:rFonts w:eastAsia="仿宋" w:cs="Times New Roman"/>
          <w:sz w:val="24"/>
          <w:szCs w:val="24"/>
        </w:rPr>
        <w:t>优生优培</w:t>
      </w:r>
      <w:r>
        <w:rPr>
          <w:rFonts w:eastAsia="仿宋" w:cs="Times New Roman"/>
          <w:sz w:val="24"/>
          <w:szCs w:val="24"/>
        </w:rPr>
        <w:t>”</w:t>
      </w:r>
      <w:r>
        <w:rPr>
          <w:rFonts w:eastAsia="仿宋" w:cs="Times New Roman"/>
          <w:sz w:val="24"/>
          <w:szCs w:val="24"/>
        </w:rPr>
        <w:t>计划试点工作实施办法》执行。</w:t>
      </w:r>
      <w:r>
        <w:rPr>
          <w:rFonts w:eastAsia="仿宋" w:cs="Times New Roman"/>
          <w:sz w:val="24"/>
          <w:szCs w:val="24"/>
        </w:rPr>
        <w:t>2</w:t>
      </w:r>
      <w:r>
        <w:rPr>
          <w:rFonts w:eastAsia="仿宋" w:cs="Times New Roman"/>
          <w:sz w:val="24"/>
          <w:szCs w:val="24"/>
        </w:rPr>
        <w:t>、导师配套投入经费划扣额度按研究生基本修业年限的月份计算。</w:t>
      </w:r>
    </w:p>
    <w:p w:rsidR="009866BB">
      <w:pPr>
        <w:spacing w:line="240" w:lineRule="auto"/>
        <w:ind w:firstLine="480" w:firstLineChars="200"/>
        <w:rPr>
          <w:rFonts w:eastAsia="仿宋" w:cs="Times New Roman"/>
          <w:sz w:val="24"/>
          <w:szCs w:val="24"/>
        </w:rPr>
      </w:pPr>
    </w:p>
    <w:p w:rsidR="009866BB">
      <w:pPr>
        <w:widowControl/>
        <w:rPr>
          <w:rFonts w:cs="Times New Roman"/>
          <w:sz w:val="24"/>
          <w:szCs w:val="24"/>
        </w:rPr>
        <w:sectPr>
          <w:footerReference w:type="even" r:id="rId6"/>
          <w:footerReference w:type="default" r:id="rId7"/>
          <w:footnotePr>
            <w:numFmt w:val="decimalEnclosedCircleChinese"/>
            <w:numRestart w:val="eachPage"/>
          </w:footnotePr>
          <w:pgSz w:w="11906" w:h="16838"/>
          <w:pgMar w:top="2098" w:right="1588" w:bottom="2041" w:left="1588" w:header="851" w:footer="1644" w:gutter="0"/>
          <w:cols w:sep="1" w:space="425"/>
          <w:docGrid w:type="linesAndChars" w:linePitch="577" w:charSpace="-1683"/>
        </w:sectPr>
      </w:pPr>
    </w:p>
    <w:p w:rsidR="009866BB">
      <w:pPr>
        <w:widowControl/>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ind w:firstLine="480" w:firstLineChars="200"/>
        <w:rPr>
          <w:rFonts w:cs="Times New Roman"/>
          <w:sz w:val="24"/>
          <w:szCs w:val="24"/>
        </w:rPr>
      </w:pPr>
    </w:p>
    <w:p w:rsidR="009866BB">
      <w:pPr>
        <w:jc w:val="center"/>
        <w:rPr>
          <w:rFonts w:eastAsia="仿宋" w:cs="Times New Roman"/>
          <w:szCs w:val="32"/>
        </w:rPr>
      </w:pPr>
    </w:p>
    <w:p w:rsidR="009866BB">
      <w:pPr>
        <w:pBdr>
          <w:top w:val="single" w:sz="4" w:space="0" w:color="auto"/>
          <w:bottom w:val="single" w:sz="4" w:space="1" w:color="auto"/>
          <w:between w:val="single" w:sz="4" w:space="1" w:color="auto"/>
        </w:pBdr>
        <w:ind w:firstLine="280" w:firstLineChars="100"/>
        <w:rPr>
          <w:rFonts w:eastAsia="黑体" w:cs="Times New Roman"/>
        </w:rPr>
      </w:pPr>
      <w:bookmarkStart w:id="3" w:name="OLE_LINK1"/>
      <w:bookmarkStart w:id="4" w:name="OLE_LINK2"/>
      <w:r>
        <w:rPr>
          <w:rFonts w:cs="Times New Roman"/>
          <w:sz w:val="28"/>
          <w:szCs w:val="28"/>
        </w:rPr>
        <w:t>中山大学校长办公室</w:t>
      </w:r>
      <w:r>
        <w:rPr>
          <w:rFonts w:cs="Times New Roman"/>
          <w:sz w:val="28"/>
          <w:szCs w:val="28"/>
        </w:rPr>
        <w:t xml:space="preserve">        </w:t>
      </w:r>
      <w:r w:rsidR="00CC39A1">
        <w:rPr>
          <w:rFonts w:cs="Times New Roman" w:hint="eastAsia"/>
          <w:sz w:val="28"/>
          <w:szCs w:val="28"/>
        </w:rPr>
        <w:t xml:space="preserve"> </w:t>
      </w:r>
      <w:r>
        <w:rPr>
          <w:rFonts w:cs="Times New Roman"/>
          <w:sz w:val="28"/>
          <w:szCs w:val="28"/>
        </w:rPr>
        <w:t xml:space="preserve">     </w:t>
      </w:r>
      <w:r>
        <w:rPr>
          <w:rFonts w:cs="Times New Roman" w:hint="eastAsia"/>
          <w:sz w:val="28"/>
          <w:szCs w:val="28"/>
        </w:rPr>
        <w:t xml:space="preserve">  </w:t>
      </w:r>
      <w:r>
        <w:rPr>
          <w:rFonts w:cs="Times New Roman"/>
          <w:sz w:val="28"/>
          <w:szCs w:val="28"/>
        </w:rPr>
        <w:t xml:space="preserve">        2019</w:t>
      </w:r>
      <w:r>
        <w:rPr>
          <w:rFonts w:cs="Times New Roman"/>
          <w:sz w:val="28"/>
          <w:szCs w:val="28"/>
        </w:rPr>
        <w:t>年</w:t>
      </w:r>
      <w:r w:rsidR="00CC39A1">
        <w:rPr>
          <w:rFonts w:cs="Times New Roman" w:hint="eastAsia"/>
          <w:sz w:val="28"/>
          <w:szCs w:val="28"/>
        </w:rPr>
        <w:t>4</w:t>
      </w:r>
      <w:r>
        <w:rPr>
          <w:rFonts w:cs="Times New Roman"/>
          <w:sz w:val="28"/>
          <w:szCs w:val="28"/>
        </w:rPr>
        <w:t>月</w:t>
      </w:r>
      <w:r w:rsidR="00CC39A1">
        <w:rPr>
          <w:rFonts w:cs="Times New Roman" w:hint="eastAsia"/>
          <w:sz w:val="28"/>
          <w:szCs w:val="28"/>
        </w:rPr>
        <w:t>8</w:t>
      </w:r>
      <w:r>
        <w:rPr>
          <w:rFonts w:cs="Times New Roman"/>
          <w:sz w:val="28"/>
          <w:szCs w:val="28"/>
        </w:rPr>
        <w:t>日印发</w:t>
      </w:r>
      <w:bookmarkEnd w:id="3"/>
      <w:bookmarkEnd w:id="4"/>
    </w:p>
    <w:sectPr>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EFF" w:usb1="C000247B" w:usb2="00000009" w:usb3="00000000" w:csb0="000001FF" w:csb1="00000000"/>
    <w:embedRegular r:id="rId1" w:fontKey="{D7F5E1B1-15EC-4A94-9D31-12D0BA55730D}"/>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2" w:fontKey="{122F8B9F-9D85-4FC7-9FA6-68CE0FCB101A}"/>
  </w:font>
  <w:font w:name="Cambria">
    <w:panose1 w:val="02040503050406030204"/>
    <w:charset w:val="00"/>
    <w:family w:val="roman"/>
    <w:pitch w:val="variable"/>
    <w:sig w:usb0="E00006FF" w:usb1="420024FF" w:usb2="02000000" w:usb3="00000000" w:csb0="0000019F" w:csb1="00000000"/>
    <w:embedRegular r:id="rId3" w:fontKey="{1949622F-26A3-455C-BAC6-847D406AC720}"/>
    <w:embedBold r:id="rId4" w:fontKey="{047D1A2E-F213-4C9C-8CAA-C935A5205445}"/>
  </w:font>
  <w:font w:name="黑体">
    <w:altName w:val="SimHei"/>
    <w:panose1 w:val="02010609060101010101"/>
    <w:charset w:val="86"/>
    <w:family w:val="modern"/>
    <w:pitch w:val="fixed"/>
    <w:sig w:usb0="800002BF" w:usb1="38CF7CFA" w:usb2="00000016" w:usb3="00000000" w:csb0="00040001" w:csb1="00000000"/>
    <w:embedRegular r:id="rId5" w:subsetted="1" w:fontKey="{27834376-37A0-47EA-BD97-5AFD0E9CEDF2}"/>
  </w:font>
  <w:font w:name="方正小标宋简体">
    <w:panose1 w:val="03000509000000000000"/>
    <w:charset w:val="86"/>
    <w:family w:val="script"/>
    <w:pitch w:val="fixed"/>
    <w:sig w:usb0="00000001" w:usb1="080E0000" w:usb2="00000010" w:usb3="00000000" w:csb0="00040000" w:csb1="00000000"/>
    <w:embedRegular r:id="rId6" w:fontKey="{EF3ED7BD-7EAD-4E2D-BAC6-FE0F56C49F31}"/>
  </w:font>
  <w:font w:name="仿宋">
    <w:panose1 w:val="02010609060101010101"/>
    <w:charset w:val="86"/>
    <w:family w:val="modern"/>
    <w:pitch w:val="fixed"/>
    <w:sig w:usb0="800002BF" w:usb1="38CF7CFA" w:usb2="00000016" w:usb3="00000000" w:csb0="00040001" w:csb1="00000000"/>
    <w:embedRegular r:id="rId7" w:subsetted="1" w:fontKey="{06EA89D1-D075-48AE-950E-3F690EAADB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817406209"/>
      <w:richText/>
    </w:sdtPr>
    <w:sdtEndPr>
      <w:rPr>
        <w:rFonts w:ascii="Times New Roman" w:hAnsi="Times New Roman" w:cs="Times New Roman"/>
        <w:sz w:val="28"/>
        <w:szCs w:val="28"/>
      </w:rPr>
    </w:sdtEndPr>
    <w:sdtContent>
      <w:p w:rsidR="009866BB">
        <w:pPr>
          <w:pStyle w:val="Footer"/>
          <w:ind w:firstLine="560" w:firstLineChars="20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Pr="005E75C9" w:rsidR="005E75C9">
          <w:rPr>
            <w:rFonts w:ascii="Times New Roman" w:hAnsi="Times New Roman" w:cs="Times New Roman"/>
            <w:noProof/>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2126218989"/>
      <w:richText/>
    </w:sdtPr>
    <w:sdtEndPr>
      <w:rPr>
        <w:rFonts w:ascii="Times New Roman" w:hAnsi="Times New Roman" w:cs="Times New Roman"/>
        <w:sz w:val="28"/>
        <w:szCs w:val="28"/>
      </w:rPr>
    </w:sdtEndPr>
    <w:sdtContent>
      <w:p w:rsidR="009866BB">
        <w:pPr>
          <w:pStyle w:val="Footer"/>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Pr="005E75C9" w:rsidR="005E75C9">
          <w:rPr>
            <w:rFonts w:ascii="Times New Roman" w:hAnsi="Times New Roman" w:cs="Times New Roman"/>
            <w:noProof/>
            <w:sz w:val="28"/>
            <w:szCs w:val="28"/>
            <w:lang w:val="zh-CN"/>
          </w:rPr>
          <w:t>1</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TrueTypeFonts/>
  <w:bordersDoNotSurroundHeader/>
  <w:bordersDoNotSurroundFooter/>
  <w:attachedTemplate r:id="rId1"/>
  <w:trackRevisions/>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8AC"/>
    <w:rsid w:val="000133BA"/>
    <w:rsid w:val="00016CDC"/>
    <w:rsid w:val="00030B15"/>
    <w:rsid w:val="00032809"/>
    <w:rsid w:val="00047A3B"/>
    <w:rsid w:val="0007068D"/>
    <w:rsid w:val="00086706"/>
    <w:rsid w:val="000D6A64"/>
    <w:rsid w:val="000E3BC9"/>
    <w:rsid w:val="000E40F2"/>
    <w:rsid w:val="00134325"/>
    <w:rsid w:val="0013696C"/>
    <w:rsid w:val="0014608B"/>
    <w:rsid w:val="00160C91"/>
    <w:rsid w:val="00174B4D"/>
    <w:rsid w:val="0017543F"/>
    <w:rsid w:val="00180691"/>
    <w:rsid w:val="00192A77"/>
    <w:rsid w:val="001A15AC"/>
    <w:rsid w:val="001A4D7B"/>
    <w:rsid w:val="001B2074"/>
    <w:rsid w:val="001C4193"/>
    <w:rsid w:val="001C6A97"/>
    <w:rsid w:val="001C6C10"/>
    <w:rsid w:val="001F44D9"/>
    <w:rsid w:val="001F46B0"/>
    <w:rsid w:val="002077FC"/>
    <w:rsid w:val="00216360"/>
    <w:rsid w:val="00221B66"/>
    <w:rsid w:val="00255631"/>
    <w:rsid w:val="002625A0"/>
    <w:rsid w:val="00262F8B"/>
    <w:rsid w:val="00265CBA"/>
    <w:rsid w:val="002821EC"/>
    <w:rsid w:val="002A307E"/>
    <w:rsid w:val="002B16CA"/>
    <w:rsid w:val="002C519E"/>
    <w:rsid w:val="002D2105"/>
    <w:rsid w:val="002D45F3"/>
    <w:rsid w:val="002E2A09"/>
    <w:rsid w:val="002E702B"/>
    <w:rsid w:val="002F0783"/>
    <w:rsid w:val="0030202D"/>
    <w:rsid w:val="0031040F"/>
    <w:rsid w:val="00310A7F"/>
    <w:rsid w:val="00335496"/>
    <w:rsid w:val="003539FC"/>
    <w:rsid w:val="00375E4D"/>
    <w:rsid w:val="00387133"/>
    <w:rsid w:val="003A31A9"/>
    <w:rsid w:val="003A3701"/>
    <w:rsid w:val="003C4BE5"/>
    <w:rsid w:val="003C77D1"/>
    <w:rsid w:val="003D7B54"/>
    <w:rsid w:val="003E188F"/>
    <w:rsid w:val="003E25AE"/>
    <w:rsid w:val="004250BF"/>
    <w:rsid w:val="004547EE"/>
    <w:rsid w:val="00455838"/>
    <w:rsid w:val="00460FAC"/>
    <w:rsid w:val="00465033"/>
    <w:rsid w:val="00470269"/>
    <w:rsid w:val="004B1CB0"/>
    <w:rsid w:val="004C5FBC"/>
    <w:rsid w:val="004F1713"/>
    <w:rsid w:val="00513D56"/>
    <w:rsid w:val="00521703"/>
    <w:rsid w:val="0053500C"/>
    <w:rsid w:val="00540F53"/>
    <w:rsid w:val="0058328F"/>
    <w:rsid w:val="005A02CB"/>
    <w:rsid w:val="005C23A3"/>
    <w:rsid w:val="005C43DF"/>
    <w:rsid w:val="005E0BBC"/>
    <w:rsid w:val="005E0E1F"/>
    <w:rsid w:val="005E75C9"/>
    <w:rsid w:val="005F5C56"/>
    <w:rsid w:val="005F7DE1"/>
    <w:rsid w:val="006169B2"/>
    <w:rsid w:val="0065228D"/>
    <w:rsid w:val="00661207"/>
    <w:rsid w:val="00677423"/>
    <w:rsid w:val="00680E17"/>
    <w:rsid w:val="006872A7"/>
    <w:rsid w:val="00692C13"/>
    <w:rsid w:val="006A36AC"/>
    <w:rsid w:val="006C5CAD"/>
    <w:rsid w:val="006C767F"/>
    <w:rsid w:val="006F601C"/>
    <w:rsid w:val="00720CE2"/>
    <w:rsid w:val="0073066D"/>
    <w:rsid w:val="00745D45"/>
    <w:rsid w:val="007471C9"/>
    <w:rsid w:val="00755C1C"/>
    <w:rsid w:val="00786028"/>
    <w:rsid w:val="007A4146"/>
    <w:rsid w:val="007A5E8D"/>
    <w:rsid w:val="007C0426"/>
    <w:rsid w:val="007D2BC8"/>
    <w:rsid w:val="007F1A60"/>
    <w:rsid w:val="00804651"/>
    <w:rsid w:val="0081605E"/>
    <w:rsid w:val="0085406F"/>
    <w:rsid w:val="0086691F"/>
    <w:rsid w:val="00885C5E"/>
    <w:rsid w:val="00886BF3"/>
    <w:rsid w:val="00890AC4"/>
    <w:rsid w:val="008A57A9"/>
    <w:rsid w:val="008B2BFA"/>
    <w:rsid w:val="008D54C5"/>
    <w:rsid w:val="008F004B"/>
    <w:rsid w:val="008F44B5"/>
    <w:rsid w:val="008F6C29"/>
    <w:rsid w:val="00900508"/>
    <w:rsid w:val="009106E6"/>
    <w:rsid w:val="00927DE8"/>
    <w:rsid w:val="00950B7E"/>
    <w:rsid w:val="009738CC"/>
    <w:rsid w:val="00975564"/>
    <w:rsid w:val="009866BB"/>
    <w:rsid w:val="009C0F93"/>
    <w:rsid w:val="009E6909"/>
    <w:rsid w:val="009F1418"/>
    <w:rsid w:val="009F60E2"/>
    <w:rsid w:val="009F7715"/>
    <w:rsid w:val="00A018F4"/>
    <w:rsid w:val="00A1010D"/>
    <w:rsid w:val="00A52479"/>
    <w:rsid w:val="00A64785"/>
    <w:rsid w:val="00A75BB9"/>
    <w:rsid w:val="00A76D81"/>
    <w:rsid w:val="00A9023B"/>
    <w:rsid w:val="00A915EA"/>
    <w:rsid w:val="00AA5679"/>
    <w:rsid w:val="00AE0D34"/>
    <w:rsid w:val="00AF1C1B"/>
    <w:rsid w:val="00AF2D96"/>
    <w:rsid w:val="00B647F4"/>
    <w:rsid w:val="00B86ADF"/>
    <w:rsid w:val="00B908E5"/>
    <w:rsid w:val="00BA0295"/>
    <w:rsid w:val="00BA6F49"/>
    <w:rsid w:val="00BA70CC"/>
    <w:rsid w:val="00BD78C3"/>
    <w:rsid w:val="00BE70F0"/>
    <w:rsid w:val="00BF7B90"/>
    <w:rsid w:val="00C143EB"/>
    <w:rsid w:val="00C1728A"/>
    <w:rsid w:val="00C30E21"/>
    <w:rsid w:val="00C728B8"/>
    <w:rsid w:val="00C84CFB"/>
    <w:rsid w:val="00CA31B8"/>
    <w:rsid w:val="00CB15A8"/>
    <w:rsid w:val="00CC39A1"/>
    <w:rsid w:val="00CC443F"/>
    <w:rsid w:val="00CD3AC3"/>
    <w:rsid w:val="00CE00D7"/>
    <w:rsid w:val="00CE0B97"/>
    <w:rsid w:val="00CE5826"/>
    <w:rsid w:val="00D12D05"/>
    <w:rsid w:val="00D27289"/>
    <w:rsid w:val="00D3189B"/>
    <w:rsid w:val="00D5482D"/>
    <w:rsid w:val="00D7430E"/>
    <w:rsid w:val="00D8347C"/>
    <w:rsid w:val="00D9127E"/>
    <w:rsid w:val="00DC3209"/>
    <w:rsid w:val="00DD0D46"/>
    <w:rsid w:val="00DD29A6"/>
    <w:rsid w:val="00DF07D8"/>
    <w:rsid w:val="00E04624"/>
    <w:rsid w:val="00E068AC"/>
    <w:rsid w:val="00E24535"/>
    <w:rsid w:val="00E25C72"/>
    <w:rsid w:val="00E34E53"/>
    <w:rsid w:val="00E47A39"/>
    <w:rsid w:val="00E546B9"/>
    <w:rsid w:val="00E85A0E"/>
    <w:rsid w:val="00EA2127"/>
    <w:rsid w:val="00EC396D"/>
    <w:rsid w:val="00EF0F70"/>
    <w:rsid w:val="00F10BD3"/>
    <w:rsid w:val="00F4690F"/>
    <w:rsid w:val="00F52ABD"/>
    <w:rsid w:val="00FB390D"/>
    <w:rsid w:val="00FD561B"/>
    <w:rsid w:val="00FE393E"/>
    <w:rsid w:val="00FF1E97"/>
    <w:rsid w:val="08890B11"/>
    <w:rsid w:val="115F16CC"/>
    <w:rsid w:val="14B55E08"/>
    <w:rsid w:val="1E1F345E"/>
    <w:rsid w:val="365374B2"/>
    <w:rsid w:val="412A308D"/>
    <w:rsid w:val="47B73412"/>
    <w:rsid w:val="523171B7"/>
    <w:rsid w:val="5F795C8A"/>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5:docId w15:val="{84121C83-B066-49E9-A45B-0BC4A44289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adjustRightInd w:val="0"/>
      <w:snapToGrid w:val="0"/>
      <w:spacing w:line="540" w:lineRule="atLeast"/>
    </w:pPr>
    <w:rPr>
      <w:rFonts w:ascii="Times New Roman" w:eastAsia="仿宋_GB2312" w:hAnsi="Times New Roman"/>
      <w:kern w:val="2"/>
      <w:sz w:val="32"/>
      <w:szCs w:val="21"/>
    </w:rPr>
  </w:style>
  <w:style w:type="paragraph" w:styleId="Heading2">
    <w:name w:val="heading 2"/>
    <w:basedOn w:val="Normal"/>
    <w:next w:val="Normal"/>
    <w:link w:val="2Char"/>
    <w:uiPriority w:val="99"/>
    <w:qFormat/>
    <w:pPr>
      <w:keepNext/>
      <w:keepLines/>
      <w:adjustRightInd/>
      <w:snapToGrid/>
      <w:spacing w:before="260" w:after="260" w:line="415" w:lineRule="auto"/>
      <w:jc w:val="center"/>
      <w:outlineLvl w:val="1"/>
    </w:pPr>
    <w:rPr>
      <w:rFonts w:ascii="Cambria" w:eastAsia="宋体" w:hAnsi="Cambria" w:cs="Times New Roman"/>
      <w:b/>
      <w:bCs/>
      <w:sz w:val="36"/>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Char2"/>
    <w:qFormat/>
    <w:pPr>
      <w:spacing w:line="500" w:lineRule="atLeast"/>
    </w:pPr>
    <w:rPr>
      <w:rFonts w:ascii="宋体"/>
      <w:bCs/>
      <w:sz w:val="28"/>
    </w:rPr>
  </w:style>
  <w:style w:type="paragraph" w:styleId="BodyTextIndent">
    <w:name w:val="Body Text Indent"/>
    <w:basedOn w:val="Normal"/>
    <w:link w:val="Char1"/>
    <w:qFormat/>
    <w:pPr>
      <w:spacing w:line="460" w:lineRule="atLeast"/>
      <w:ind w:firstLine="461" w:firstLineChars="192"/>
    </w:pPr>
    <w:rPr>
      <w:sz w:val="24"/>
    </w:rPr>
  </w:style>
  <w:style w:type="paragraph" w:styleId="BalloonText">
    <w:name w:val="Balloon Text"/>
    <w:basedOn w:val="Normal"/>
    <w:link w:val="Char3"/>
    <w:uiPriority w:val="99"/>
    <w:semiHidden/>
    <w:unhideWhenUsed/>
    <w:qFormat/>
    <w:rPr>
      <w:sz w:val="18"/>
      <w:szCs w:val="18"/>
    </w:rPr>
  </w:style>
  <w:style w:type="paragraph" w:styleId="Footer">
    <w:name w:val="footer"/>
    <w:basedOn w:val="Normal"/>
    <w:link w:val="Char0"/>
    <w:uiPriority w:val="99"/>
    <w:unhideWhenUsed/>
    <w:qFormat/>
    <w:pPr>
      <w:tabs>
        <w:tab w:val="center" w:pos="4153"/>
        <w:tab w:val="right" w:pos="8306"/>
      </w:tabs>
    </w:pPr>
    <w:rPr>
      <w:rFonts w:asciiTheme="minorHAnsi" w:eastAsiaTheme="minorEastAsia" w:hAnsiTheme="minorHAnsi"/>
      <w:sz w:val="18"/>
      <w:szCs w:val="18"/>
    </w:rPr>
  </w:style>
  <w:style w:type="paragraph" w:styleId="Header">
    <w:name w:val="header"/>
    <w:basedOn w:val="Normal"/>
    <w:link w:val="Char"/>
    <w:uiPriority w:val="99"/>
    <w:unhideWhenUsed/>
    <w:qFormat/>
    <w:pPr>
      <w:pBdr>
        <w:bottom w:val="single" w:sz="6" w:space="1" w:color="auto"/>
      </w:pBdr>
      <w:tabs>
        <w:tab w:val="center" w:pos="4153"/>
        <w:tab w:val="right" w:pos="8306"/>
      </w:tabs>
      <w:jc w:val="center"/>
    </w:pPr>
    <w:rPr>
      <w:rFonts w:asciiTheme="minorHAnsi" w:eastAsiaTheme="minorEastAsia" w:hAnsiTheme="minorHAnsi"/>
      <w:sz w:val="18"/>
      <w:szCs w:val="18"/>
    </w:rPr>
  </w:style>
  <w:style w:type="table" w:styleId="TableGrid">
    <w:name w:val="Table Grid"/>
    <w:basedOn w:val="TableNormal"/>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qFormat/>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qFormat/>
    <w:rPr>
      <w:sz w:val="18"/>
      <w:szCs w:val="18"/>
    </w:rPr>
  </w:style>
  <w:style w:type="character" w:customStyle="1" w:styleId="Char1">
    <w:name w:val="正文文本缩进 Char"/>
    <w:basedOn w:val="DefaultParagraphFont"/>
    <w:link w:val="BodyTextIndent"/>
    <w:qFormat/>
    <w:rPr>
      <w:rFonts w:ascii="Times New Roman" w:eastAsia="宋体" w:hAnsi="Times New Roman" w:cs="Times New Roman"/>
      <w:sz w:val="24"/>
      <w:szCs w:val="24"/>
    </w:rPr>
  </w:style>
  <w:style w:type="character" w:customStyle="1" w:styleId="Char2">
    <w:name w:val="正文文本 Char"/>
    <w:basedOn w:val="DefaultParagraphFont"/>
    <w:link w:val="BodyText"/>
    <w:qFormat/>
    <w:rPr>
      <w:rFonts w:ascii="宋体" w:eastAsia="宋体" w:hAnsi="Times New Roman" w:cs="Times New Roman"/>
      <w:bCs/>
      <w:sz w:val="28"/>
      <w:szCs w:val="24"/>
    </w:rPr>
  </w:style>
  <w:style w:type="character" w:customStyle="1" w:styleId="Char3">
    <w:name w:val="批注框文本 Char"/>
    <w:basedOn w:val="DefaultParagraphFont"/>
    <w:link w:val="BalloonText"/>
    <w:uiPriority w:val="99"/>
    <w:semiHidden/>
    <w:qFormat/>
    <w:rPr>
      <w:rFonts w:ascii="Times New Roman" w:eastAsia="宋体" w:hAnsi="Times New Roman" w:cs="Times New Roman"/>
      <w:sz w:val="18"/>
      <w:szCs w:val="18"/>
    </w:rPr>
  </w:style>
  <w:style w:type="paragraph" w:styleId="ListParagraph">
    <w:name w:val="List Paragraph"/>
    <w:basedOn w:val="Normal"/>
    <w:uiPriority w:val="34"/>
    <w:qFormat/>
    <w:pPr>
      <w:ind w:firstLine="420" w:firstLineChars="200"/>
    </w:pPr>
    <w:rPr>
      <w:rFonts w:asciiTheme="minorHAnsi" w:eastAsiaTheme="minorEastAsia" w:hAnsiTheme="minorHAnsi"/>
      <w:sz w:val="21"/>
      <w:szCs w:val="22"/>
    </w:rPr>
  </w:style>
  <w:style w:type="character" w:customStyle="1" w:styleId="2Char">
    <w:name w:val="标题 2 Char"/>
    <w:basedOn w:val="DefaultParagraphFont"/>
    <w:link w:val="Heading2"/>
    <w:uiPriority w:val="99"/>
    <w:qFormat/>
    <w:rPr>
      <w:rFonts w:ascii="Cambria" w:eastAsia="宋体" w:hAnsi="Cambria" w:cs="Times New Roman"/>
      <w:b/>
      <w:bCs/>
      <w:sz w:val="36"/>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footer" Target="footer1.xml" /><Relationship Id="rId7" Type="http://schemas.openxmlformats.org/officeDocument/2006/relationships/footer" Target="footer2.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Lenovo\Desktop\&#27169;&#26495;\&#26234;&#33021;&#32418;&#22836;\&#27169;&#26495;&#26234;&#33021;&#32418;&#22836;\&#20013;&#23665;&#22823;&#23398;&#19979;&#34892;&#25991;&#27169;&#26495;.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DAD154C-DC55-4AC9-85AD-38BCEE656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中山大学下行文模板.dotx</Template>
  <TotalTime>6</TotalTime>
  <Pages>1</Pages>
  <Words>942</Words>
  <Characters>5376</Characters>
  <Application>Microsoft Office Word</Application>
  <DocSecurity>0</DocSecurity>
  <Lines>44</Lines>
  <Paragraphs>12</Paragraphs>
  <ScaleCrop>false</ScaleCrop>
  <Company>SYSU</Company>
  <LinksUpToDate>false</LinksUpToDate>
  <CharactersWithSpaces>6306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Microsoft 帐户</cp:lastModifiedBy>
  <cp:revision>23</cp:revision>
  <cp:lastPrinted>2019-04-02T06:59:00Z</cp:lastPrinted>
  <dcterms:created xsi:type="dcterms:W3CDTF">2019-03-19T01:25:00Z</dcterms:created>
  <dcterms:modified xsi:type="dcterms:W3CDTF">2019-04-08T02:25:00Z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2052-11.3.0.8513</vt:lpwstr>
  </property>
</Properties>
</file>